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cs="Times New Roman"/>
          <w:sz w:val="32"/>
          <w:szCs w:val="32"/>
        </w:rPr>
      </w:pPr>
      <w:bookmarkStart w:id="0" w:name="_Hlk169508686"/>
      <w:r>
        <w:rPr>
          <w:rFonts w:ascii="Times New Roman" w:hAnsi="Times New Roman" w:eastAsia="黑体" w:cs="Times New Roman"/>
          <w:sz w:val="32"/>
          <w:szCs w:val="32"/>
        </w:rPr>
        <w:t>附</w:t>
      </w:r>
      <w:r>
        <w:rPr>
          <w:rFonts w:hint="eastAsia" w:ascii="Times New Roman" w:hAnsi="Times New Roman" w:eastAsia="黑体" w:cs="Times New Roman"/>
          <w:sz w:val="32"/>
          <w:szCs w:val="32"/>
        </w:rPr>
        <w:t>表</w:t>
      </w:r>
      <w:r>
        <w:rPr>
          <w:rFonts w:ascii="Times New Roman" w:hAnsi="Times New Roman" w:eastAsia="黑体" w:cs="Times New Roman"/>
          <w:sz w:val="32"/>
          <w:szCs w:val="32"/>
        </w:rPr>
        <w:t>1</w:t>
      </w:r>
      <w:bookmarkEnd w:id="0"/>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ascii="方正小标宋简体" w:hAnsi="黑体" w:eastAsia="方正小标宋简体" w:cs="Times New Roman"/>
          <w:bCs/>
          <w:sz w:val="40"/>
          <w:szCs w:val="40"/>
        </w:rPr>
      </w:pPr>
      <w:r>
        <w:rPr>
          <w:rFonts w:hint="eastAsia" w:ascii="方正小标宋简体" w:hAnsi="黑体" w:eastAsia="方正小标宋简体" w:cs="Times New Roman"/>
          <w:bCs/>
          <w:sz w:val="40"/>
          <w:szCs w:val="40"/>
        </w:rPr>
        <w:t>内蒙古自治区技术创</w:t>
      </w:r>
      <w:r>
        <w:rPr>
          <w:rFonts w:hint="eastAsia" w:ascii="方正小标宋简体" w:hAnsi="黑体" w:eastAsia="方正小标宋简体" w:cs="Times New Roman"/>
          <w:bCs/>
          <w:sz w:val="40"/>
          <w:szCs w:val="40"/>
          <w:lang w:eastAsia="zh-CN"/>
        </w:rPr>
        <w:t>新中心考核评</w:t>
      </w:r>
      <w:r>
        <w:rPr>
          <w:rFonts w:hint="eastAsia" w:ascii="方正小标宋简体" w:hAnsi="黑体" w:eastAsia="方正小标宋简体" w:cs="Times New Roman"/>
          <w:bCs/>
          <w:sz w:val="40"/>
          <w:szCs w:val="40"/>
        </w:rPr>
        <w:t>估指标体系</w:t>
      </w:r>
    </w:p>
    <w:tbl>
      <w:tblPr>
        <w:tblStyle w:val="5"/>
        <w:tblW w:w="86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497"/>
        <w:gridCol w:w="5300"/>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4" w:hRule="atLeast"/>
          <w:tblHeader/>
          <w:jc w:val="center"/>
        </w:trPr>
        <w:tc>
          <w:tcPr>
            <w:tcW w:w="1180" w:type="dxa"/>
            <w:vAlign w:val="center"/>
          </w:tcPr>
          <w:p>
            <w:pPr>
              <w:tabs>
                <w:tab w:val="left" w:pos="0"/>
              </w:tabs>
              <w:spacing w:line="300" w:lineRule="exact"/>
              <w:jc w:val="center"/>
              <w:rPr>
                <w:rFonts w:ascii="黑体" w:hAnsi="黑体" w:eastAsia="黑体" w:cs="Times New Roman"/>
                <w:bCs/>
                <w:sz w:val="21"/>
                <w:szCs w:val="21"/>
              </w:rPr>
            </w:pPr>
            <w:r>
              <w:rPr>
                <w:rFonts w:hint="eastAsia" w:ascii="黑体" w:hAnsi="黑体" w:eastAsia="黑体" w:cs="Times New Roman"/>
                <w:bCs/>
                <w:sz w:val="21"/>
                <w:szCs w:val="21"/>
              </w:rPr>
              <w:t>一级</w:t>
            </w:r>
          </w:p>
          <w:p>
            <w:pPr>
              <w:tabs>
                <w:tab w:val="left" w:pos="0"/>
              </w:tabs>
              <w:spacing w:line="300" w:lineRule="exact"/>
              <w:jc w:val="center"/>
              <w:rPr>
                <w:rFonts w:ascii="黑体" w:hAnsi="黑体" w:eastAsia="黑体" w:cs="Times New Roman"/>
                <w:bCs/>
                <w:sz w:val="21"/>
                <w:szCs w:val="21"/>
              </w:rPr>
            </w:pPr>
            <w:r>
              <w:rPr>
                <w:rFonts w:hint="eastAsia" w:ascii="黑体" w:hAnsi="黑体" w:eastAsia="黑体" w:cs="Times New Roman"/>
                <w:bCs/>
                <w:sz w:val="21"/>
                <w:szCs w:val="21"/>
              </w:rPr>
              <w:t>指标</w:t>
            </w:r>
          </w:p>
        </w:tc>
        <w:tc>
          <w:tcPr>
            <w:tcW w:w="1497" w:type="dxa"/>
            <w:vAlign w:val="center"/>
          </w:tcPr>
          <w:p>
            <w:pPr>
              <w:tabs>
                <w:tab w:val="left" w:pos="0"/>
              </w:tabs>
              <w:spacing w:line="300" w:lineRule="exact"/>
              <w:jc w:val="center"/>
              <w:rPr>
                <w:rFonts w:ascii="黑体" w:hAnsi="黑体" w:eastAsia="黑体" w:cs="Times New Roman"/>
                <w:bCs/>
                <w:sz w:val="21"/>
                <w:szCs w:val="21"/>
              </w:rPr>
            </w:pPr>
            <w:r>
              <w:rPr>
                <w:rFonts w:hint="eastAsia" w:ascii="黑体" w:hAnsi="黑体" w:eastAsia="黑体" w:cs="Times New Roman"/>
                <w:bCs/>
                <w:sz w:val="21"/>
                <w:szCs w:val="21"/>
              </w:rPr>
              <w:t>二级</w:t>
            </w:r>
          </w:p>
          <w:p>
            <w:pPr>
              <w:tabs>
                <w:tab w:val="left" w:pos="0"/>
              </w:tabs>
              <w:spacing w:line="300" w:lineRule="exact"/>
              <w:jc w:val="center"/>
              <w:rPr>
                <w:rFonts w:ascii="黑体" w:hAnsi="黑体" w:eastAsia="黑体" w:cs="Times New Roman"/>
                <w:bCs/>
                <w:sz w:val="21"/>
                <w:szCs w:val="21"/>
              </w:rPr>
            </w:pPr>
            <w:r>
              <w:rPr>
                <w:rFonts w:hint="eastAsia" w:ascii="黑体" w:hAnsi="黑体" w:eastAsia="黑体" w:cs="Times New Roman"/>
                <w:bCs/>
                <w:sz w:val="21"/>
                <w:szCs w:val="21"/>
              </w:rPr>
              <w:t>指标</w:t>
            </w:r>
          </w:p>
        </w:tc>
        <w:tc>
          <w:tcPr>
            <w:tcW w:w="5300" w:type="dxa"/>
            <w:vAlign w:val="center"/>
          </w:tcPr>
          <w:p>
            <w:pPr>
              <w:tabs>
                <w:tab w:val="left" w:pos="0"/>
              </w:tabs>
              <w:spacing w:line="300" w:lineRule="exact"/>
              <w:jc w:val="center"/>
              <w:rPr>
                <w:rFonts w:ascii="黑体" w:hAnsi="黑体" w:eastAsia="黑体" w:cs="Times New Roman"/>
                <w:bCs/>
                <w:sz w:val="21"/>
                <w:szCs w:val="21"/>
              </w:rPr>
            </w:pPr>
            <w:r>
              <w:rPr>
                <w:rFonts w:hint="eastAsia" w:ascii="黑体" w:hAnsi="黑体" w:eastAsia="黑体" w:cs="Times New Roman"/>
                <w:bCs/>
                <w:sz w:val="21"/>
                <w:szCs w:val="21"/>
              </w:rPr>
              <w:t>评估要点</w:t>
            </w:r>
          </w:p>
        </w:tc>
        <w:tc>
          <w:tcPr>
            <w:tcW w:w="688" w:type="dxa"/>
            <w:vAlign w:val="center"/>
          </w:tcPr>
          <w:p>
            <w:pPr>
              <w:tabs>
                <w:tab w:val="left" w:pos="0"/>
              </w:tabs>
              <w:spacing w:line="300" w:lineRule="exact"/>
              <w:jc w:val="center"/>
              <w:rPr>
                <w:rFonts w:ascii="黑体" w:hAnsi="黑体" w:eastAsia="黑体" w:cs="Times New Roman"/>
                <w:bCs/>
                <w:sz w:val="21"/>
                <w:szCs w:val="21"/>
              </w:rPr>
            </w:pPr>
            <w:r>
              <w:rPr>
                <w:rFonts w:hint="eastAsia" w:ascii="黑体" w:hAnsi="黑体" w:eastAsia="黑体" w:cs="Times New Roman"/>
                <w:bCs/>
                <w:sz w:val="21"/>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jc w:val="center"/>
        </w:trPr>
        <w:tc>
          <w:tcPr>
            <w:tcW w:w="1180" w:type="dxa"/>
            <w:vMerge w:val="restart"/>
            <w:vAlign w:val="center"/>
          </w:tcPr>
          <w:p>
            <w:pPr>
              <w:tabs>
                <w:tab w:val="left" w:pos="0"/>
              </w:tabs>
              <w:spacing w:line="300" w:lineRule="exact"/>
              <w:jc w:val="center"/>
              <w:rPr>
                <w:rFonts w:ascii="Times New Roman" w:hAnsi="Times New Roman" w:eastAsia="仿宋_GB2312" w:cs="Times New Roman"/>
                <w:b/>
                <w:color w:val="000000"/>
                <w:sz w:val="21"/>
                <w:szCs w:val="21"/>
              </w:rPr>
            </w:pPr>
            <w:r>
              <w:rPr>
                <w:rFonts w:hint="eastAsia" w:ascii="Times New Roman" w:hAnsi="Times New Roman" w:eastAsia="仿宋_GB2312" w:cs="Times New Roman"/>
                <w:b/>
                <w:color w:val="000000"/>
                <w:sz w:val="21"/>
                <w:szCs w:val="21"/>
              </w:rPr>
              <w:t>组织管理</w:t>
            </w:r>
          </w:p>
          <w:p>
            <w:pPr>
              <w:tabs>
                <w:tab w:val="left" w:pos="0"/>
              </w:tabs>
              <w:spacing w:line="300" w:lineRule="exact"/>
              <w:jc w:val="center"/>
              <w:rPr>
                <w:rFonts w:ascii="Times New Roman" w:hAnsi="Times New Roman" w:eastAsia="仿宋_GB2312" w:cs="Times New Roman"/>
                <w:b/>
                <w:color w:val="000000"/>
                <w:sz w:val="21"/>
                <w:szCs w:val="21"/>
              </w:rPr>
            </w:pPr>
            <w:r>
              <w:rPr>
                <w:rFonts w:ascii="Times New Roman" w:hAnsi="Times New Roman" w:eastAsia="仿宋_GB2312" w:cs="Times New Roman"/>
                <w:sz w:val="21"/>
                <w:szCs w:val="21"/>
              </w:rPr>
              <w:t>（</w:t>
            </w:r>
            <w:r>
              <w:rPr>
                <w:rFonts w:hint="eastAsia" w:ascii="Times New Roman" w:hAnsi="Times New Roman" w:eastAsia="仿宋_GB2312" w:cs="Times New Roman"/>
                <w:sz w:val="21"/>
                <w:szCs w:val="21"/>
              </w:rPr>
              <w:t>15%</w:t>
            </w:r>
            <w:r>
              <w:rPr>
                <w:rFonts w:ascii="Times New Roman" w:hAnsi="Times New Roman" w:eastAsia="仿宋_GB2312" w:cs="Times New Roman"/>
                <w:sz w:val="21"/>
                <w:szCs w:val="21"/>
              </w:rPr>
              <w:t>）</w:t>
            </w:r>
          </w:p>
        </w:tc>
        <w:tc>
          <w:tcPr>
            <w:tcW w:w="1497" w:type="dxa"/>
            <w:vMerge w:val="restart"/>
            <w:vAlign w:val="center"/>
          </w:tcPr>
          <w:p>
            <w:pPr>
              <w:spacing w:line="300" w:lineRule="exact"/>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组织体系</w:t>
            </w:r>
          </w:p>
        </w:tc>
        <w:tc>
          <w:tcPr>
            <w:tcW w:w="5300" w:type="dxa"/>
            <w:vAlign w:val="center"/>
          </w:tcPr>
          <w:p>
            <w:pPr>
              <w:keepNext w:val="0"/>
              <w:keepLines w:val="0"/>
              <w:pageBreakBefore w:val="0"/>
              <w:kinsoku/>
              <w:wordWrap/>
              <w:overflowPunct/>
              <w:topLinePunct w:val="0"/>
              <w:autoSpaceDE/>
              <w:autoSpaceDN/>
              <w:bidi w:val="0"/>
              <w:adjustRightInd/>
              <w:snapToGrid/>
              <w:spacing w:before="157" w:beforeLines="50" w:after="157" w:afterLines="50" w:line="300" w:lineRule="exact"/>
              <w:jc w:val="both"/>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独立法人单位实体</w:t>
            </w:r>
            <w:r>
              <w:rPr>
                <w:rFonts w:ascii="Times New Roman" w:hAnsi="Times New Roman" w:eastAsia="仿宋_GB2312" w:cs="Times New Roman"/>
                <w:sz w:val="21"/>
                <w:szCs w:val="21"/>
              </w:rPr>
              <w:t>化运行</w:t>
            </w:r>
            <w:r>
              <w:rPr>
                <w:rFonts w:hint="eastAsia" w:ascii="Times New Roman" w:hAnsi="Times New Roman" w:eastAsia="仿宋_GB2312" w:cs="Times New Roman"/>
                <w:sz w:val="21"/>
                <w:szCs w:val="21"/>
              </w:rPr>
              <w:t>。</w:t>
            </w:r>
          </w:p>
        </w:tc>
        <w:tc>
          <w:tcPr>
            <w:tcW w:w="688" w:type="dxa"/>
            <w:vAlign w:val="center"/>
          </w:tcPr>
          <w:p>
            <w:pPr>
              <w:spacing w:line="300" w:lineRule="exact"/>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atLeast"/>
          <w:jc w:val="center"/>
        </w:trPr>
        <w:tc>
          <w:tcPr>
            <w:tcW w:w="1180" w:type="dxa"/>
            <w:vMerge w:val="continue"/>
            <w:vAlign w:val="center"/>
          </w:tcPr>
          <w:p>
            <w:pPr>
              <w:tabs>
                <w:tab w:val="left" w:pos="0"/>
              </w:tabs>
              <w:spacing w:line="300" w:lineRule="exact"/>
              <w:jc w:val="center"/>
              <w:rPr>
                <w:rFonts w:ascii="Times New Roman" w:hAnsi="Times New Roman" w:eastAsia="仿宋_GB2312" w:cs="Times New Roman"/>
                <w:sz w:val="21"/>
                <w:szCs w:val="21"/>
              </w:rPr>
            </w:pPr>
          </w:p>
        </w:tc>
        <w:tc>
          <w:tcPr>
            <w:tcW w:w="1497" w:type="dxa"/>
            <w:vMerge w:val="continue"/>
            <w:vAlign w:val="center"/>
          </w:tcPr>
          <w:p>
            <w:pPr>
              <w:spacing w:line="300" w:lineRule="exact"/>
              <w:jc w:val="center"/>
              <w:rPr>
                <w:rFonts w:ascii="Times New Roman" w:hAnsi="Times New Roman" w:eastAsia="仿宋_GB2312" w:cs="Times New Roman"/>
                <w:sz w:val="21"/>
                <w:szCs w:val="21"/>
              </w:rPr>
            </w:pPr>
          </w:p>
        </w:tc>
        <w:tc>
          <w:tcPr>
            <w:tcW w:w="5300" w:type="dxa"/>
            <w:vAlign w:val="center"/>
          </w:tcPr>
          <w:p>
            <w:pPr>
              <w:keepNext w:val="0"/>
              <w:keepLines w:val="0"/>
              <w:pageBreakBefore w:val="0"/>
              <w:kinsoku/>
              <w:wordWrap/>
              <w:overflowPunct/>
              <w:topLinePunct w:val="0"/>
              <w:autoSpaceDE/>
              <w:autoSpaceDN/>
              <w:bidi w:val="0"/>
              <w:adjustRightInd/>
              <w:snapToGrid/>
              <w:spacing w:before="157" w:beforeLines="50" w:after="157" w:afterLines="50" w:line="300" w:lineRule="exact"/>
              <w:jc w:val="both"/>
              <w:textAlignment w:val="auto"/>
              <w:rPr>
                <w:rFonts w:ascii="Times New Roman" w:hAnsi="Times New Roman" w:eastAsia="仿宋_GB2312" w:cs="Times New Roman"/>
                <w:sz w:val="21"/>
                <w:szCs w:val="21"/>
              </w:rPr>
            </w:pPr>
            <w:r>
              <w:rPr>
                <w:rFonts w:hint="eastAsia" w:ascii="Times New Roman" w:hAnsi="Times New Roman" w:eastAsia="仿宋_GB2312" w:cs="Times New Roman"/>
                <w:color w:val="000000"/>
                <w:sz w:val="21"/>
                <w:szCs w:val="21"/>
              </w:rPr>
              <w:t>理事会（董事会）、中心主任（总经理）和技术指导委员会机制完善，运行良</w:t>
            </w:r>
            <w:r>
              <w:rPr>
                <w:rFonts w:ascii="Times New Roman" w:hAnsi="Times New Roman" w:eastAsia="仿宋_GB2312" w:cs="Times New Roman"/>
                <w:color w:val="000000"/>
                <w:sz w:val="21"/>
                <w:szCs w:val="21"/>
              </w:rPr>
              <w:t>好</w:t>
            </w:r>
            <w:r>
              <w:rPr>
                <w:rFonts w:hint="eastAsia" w:ascii="Times New Roman" w:hAnsi="Times New Roman" w:eastAsia="仿宋_GB2312" w:cs="Times New Roman"/>
                <w:color w:val="000000"/>
                <w:sz w:val="21"/>
                <w:szCs w:val="21"/>
              </w:rPr>
              <w:t>。</w:t>
            </w:r>
          </w:p>
        </w:tc>
        <w:tc>
          <w:tcPr>
            <w:tcW w:w="688" w:type="dxa"/>
            <w:vAlign w:val="center"/>
          </w:tcPr>
          <w:p>
            <w:pPr>
              <w:spacing w:line="300" w:lineRule="exact"/>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1180" w:type="dxa"/>
            <w:vMerge w:val="continue"/>
            <w:vAlign w:val="center"/>
          </w:tcPr>
          <w:p>
            <w:pPr>
              <w:tabs>
                <w:tab w:val="left" w:pos="0"/>
              </w:tabs>
              <w:spacing w:line="300" w:lineRule="exact"/>
              <w:jc w:val="center"/>
              <w:rPr>
                <w:rFonts w:ascii="Times New Roman" w:hAnsi="Times New Roman" w:eastAsia="仿宋_GB2312" w:cs="Times New Roman"/>
                <w:sz w:val="21"/>
                <w:szCs w:val="21"/>
              </w:rPr>
            </w:pPr>
          </w:p>
        </w:tc>
        <w:tc>
          <w:tcPr>
            <w:tcW w:w="1497" w:type="dxa"/>
            <w:vAlign w:val="center"/>
          </w:tcPr>
          <w:p>
            <w:pPr>
              <w:tabs>
                <w:tab w:val="left" w:pos="0"/>
              </w:tabs>
              <w:spacing w:line="30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管理制度</w:t>
            </w:r>
          </w:p>
        </w:tc>
        <w:tc>
          <w:tcPr>
            <w:tcW w:w="5300" w:type="dxa"/>
            <w:vAlign w:val="center"/>
          </w:tcPr>
          <w:p>
            <w:pPr>
              <w:keepNext w:val="0"/>
              <w:keepLines w:val="0"/>
              <w:pageBreakBefore w:val="0"/>
              <w:kinsoku/>
              <w:wordWrap/>
              <w:overflowPunct/>
              <w:topLinePunct w:val="0"/>
              <w:autoSpaceDE/>
              <w:autoSpaceDN/>
              <w:bidi w:val="0"/>
              <w:adjustRightInd/>
              <w:snapToGrid/>
              <w:spacing w:before="157" w:beforeLines="50" w:after="157" w:afterLines="50" w:line="300" w:lineRule="exact"/>
              <w:jc w:val="both"/>
              <w:textAlignment w:val="auto"/>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rPr>
              <w:t>内部管理制度健全（包括科研</w:t>
            </w:r>
            <w:r>
              <w:rPr>
                <w:rFonts w:ascii="Times New Roman" w:hAnsi="Times New Roman" w:eastAsia="仿宋_GB2312" w:cs="Times New Roman"/>
                <w:color w:val="000000"/>
                <w:sz w:val="21"/>
                <w:szCs w:val="21"/>
              </w:rPr>
              <w:t>项目、资金等）</w:t>
            </w:r>
            <w:r>
              <w:rPr>
                <w:rFonts w:hint="eastAsia" w:ascii="Times New Roman" w:hAnsi="Times New Roman" w:eastAsia="仿宋_GB2312" w:cs="Times New Roman"/>
                <w:color w:val="000000"/>
                <w:sz w:val="21"/>
                <w:szCs w:val="21"/>
              </w:rPr>
              <w:t>，落实到位。</w:t>
            </w:r>
          </w:p>
        </w:tc>
        <w:tc>
          <w:tcPr>
            <w:tcW w:w="688" w:type="dxa"/>
            <w:vAlign w:val="center"/>
          </w:tcPr>
          <w:p>
            <w:pPr>
              <w:spacing w:line="300" w:lineRule="exact"/>
              <w:jc w:val="center"/>
              <w:rPr>
                <w:rFonts w:ascii="Times New Roman" w:hAnsi="Times New Roman" w:eastAsia="仿宋_GB2312" w:cs="Times New Roman"/>
                <w:sz w:val="21"/>
                <w:szCs w:val="21"/>
              </w:rPr>
            </w:pPr>
            <w:r>
              <w:rPr>
                <w:rFonts w:hint="eastAsia" w:ascii="Times New Roman" w:hAnsi="Times New Roman" w:eastAsia="仿宋_GB2312"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49" w:hRule="atLeast"/>
          <w:jc w:val="center"/>
        </w:trPr>
        <w:tc>
          <w:tcPr>
            <w:tcW w:w="1180" w:type="dxa"/>
            <w:vMerge w:val="restart"/>
            <w:vAlign w:val="center"/>
          </w:tcPr>
          <w:p>
            <w:pPr>
              <w:tabs>
                <w:tab w:val="left" w:pos="0"/>
              </w:tabs>
              <w:spacing w:line="300" w:lineRule="exact"/>
              <w:jc w:val="center"/>
              <w:rPr>
                <w:rFonts w:ascii="Times New Roman" w:hAnsi="Times New Roman" w:eastAsia="仿宋_GB2312" w:cs="Times New Roman"/>
                <w:b/>
                <w:color w:val="000000"/>
                <w:sz w:val="21"/>
                <w:szCs w:val="21"/>
              </w:rPr>
            </w:pPr>
            <w:r>
              <w:rPr>
                <w:rFonts w:hint="eastAsia" w:ascii="Times New Roman" w:hAnsi="Times New Roman" w:eastAsia="仿宋_GB2312" w:cs="Times New Roman"/>
                <w:b/>
                <w:color w:val="000000"/>
                <w:sz w:val="21"/>
                <w:szCs w:val="21"/>
              </w:rPr>
              <w:t>保障措施</w:t>
            </w:r>
          </w:p>
          <w:p>
            <w:pPr>
              <w:tabs>
                <w:tab w:val="left" w:pos="0"/>
              </w:tabs>
              <w:spacing w:line="30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（20</w:t>
            </w:r>
            <w:r>
              <w:rPr>
                <w:rFonts w:hint="eastAsia" w:ascii="Times New Roman" w:hAnsi="Times New Roman" w:eastAsia="仿宋_GB2312" w:cs="Times New Roman"/>
                <w:sz w:val="21"/>
                <w:szCs w:val="21"/>
              </w:rPr>
              <w:t>%</w:t>
            </w:r>
            <w:r>
              <w:rPr>
                <w:rFonts w:ascii="Times New Roman" w:hAnsi="Times New Roman" w:eastAsia="仿宋_GB2312" w:cs="Times New Roman"/>
                <w:sz w:val="21"/>
                <w:szCs w:val="21"/>
              </w:rPr>
              <w:t>）</w:t>
            </w:r>
          </w:p>
        </w:tc>
        <w:tc>
          <w:tcPr>
            <w:tcW w:w="1497" w:type="dxa"/>
            <w:vAlign w:val="center"/>
          </w:tcPr>
          <w:p>
            <w:pPr>
              <w:spacing w:line="300" w:lineRule="exact"/>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经费投入</w:t>
            </w:r>
          </w:p>
        </w:tc>
        <w:tc>
          <w:tcPr>
            <w:tcW w:w="5300" w:type="dxa"/>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jc w:val="both"/>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 建设主体投入情况（企业牵头建设的中心用于研发活动投入资金不低于自治区财政支持资金）；</w:t>
            </w:r>
          </w:p>
          <w:p>
            <w:pPr>
              <w:keepNext w:val="0"/>
              <w:keepLines w:val="0"/>
              <w:pageBreakBefore w:val="0"/>
              <w:kinsoku/>
              <w:wordWrap/>
              <w:overflowPunct/>
              <w:topLinePunct w:val="0"/>
              <w:autoSpaceDE/>
              <w:autoSpaceDN/>
              <w:bidi w:val="0"/>
              <w:adjustRightInd/>
              <w:snapToGrid/>
              <w:spacing w:before="0" w:beforeLines="0" w:after="0" w:afterLines="0" w:line="320" w:lineRule="exact"/>
              <w:jc w:val="both"/>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 共建单位投入情况；</w:t>
            </w:r>
          </w:p>
          <w:p>
            <w:pPr>
              <w:keepNext w:val="0"/>
              <w:keepLines w:val="0"/>
              <w:pageBreakBefore w:val="0"/>
              <w:kinsoku/>
              <w:wordWrap/>
              <w:overflowPunct/>
              <w:topLinePunct w:val="0"/>
              <w:autoSpaceDE/>
              <w:autoSpaceDN/>
              <w:bidi w:val="0"/>
              <w:adjustRightInd/>
              <w:snapToGrid/>
              <w:spacing w:before="0" w:beforeLines="0" w:after="0" w:afterLines="0" w:line="320" w:lineRule="exact"/>
              <w:jc w:val="both"/>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 各级政府投入情况；</w:t>
            </w:r>
          </w:p>
          <w:p>
            <w:pPr>
              <w:keepNext w:val="0"/>
              <w:keepLines w:val="0"/>
              <w:pageBreakBefore w:val="0"/>
              <w:kinsoku/>
              <w:wordWrap/>
              <w:overflowPunct/>
              <w:topLinePunct w:val="0"/>
              <w:autoSpaceDE/>
              <w:autoSpaceDN/>
              <w:bidi w:val="0"/>
              <w:adjustRightInd/>
              <w:snapToGrid/>
              <w:spacing w:before="0" w:beforeLines="0" w:after="0" w:afterLines="0" w:line="320" w:lineRule="exact"/>
              <w:jc w:val="both"/>
              <w:textAlignment w:val="auto"/>
              <w:rPr>
                <w:rFonts w:ascii="Times New Roman" w:hAnsi="Times New Roman" w:eastAsia="仿宋_GB2312" w:cs="Times New Roman"/>
                <w:color w:val="0000FF"/>
                <w:sz w:val="21"/>
                <w:szCs w:val="21"/>
              </w:rPr>
            </w:pPr>
            <w:r>
              <w:rPr>
                <w:rFonts w:hint="eastAsia" w:ascii="Times New Roman" w:hAnsi="Times New Roman" w:eastAsia="仿宋_GB2312" w:cs="Times New Roman"/>
                <w:sz w:val="21"/>
                <w:szCs w:val="21"/>
              </w:rPr>
              <w:t>4. 市场化经营收入情况。</w:t>
            </w:r>
          </w:p>
        </w:tc>
        <w:tc>
          <w:tcPr>
            <w:tcW w:w="688" w:type="dxa"/>
            <w:vAlign w:val="center"/>
          </w:tcPr>
          <w:p>
            <w:pPr>
              <w:spacing w:line="30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10</w:t>
            </w:r>
            <w:r>
              <w:rPr>
                <w:rFonts w:hint="eastAsia"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45" w:hRule="atLeast"/>
          <w:jc w:val="center"/>
        </w:trPr>
        <w:tc>
          <w:tcPr>
            <w:tcW w:w="1180" w:type="dxa"/>
            <w:vMerge w:val="continue"/>
            <w:vAlign w:val="center"/>
          </w:tcPr>
          <w:p>
            <w:pPr>
              <w:tabs>
                <w:tab w:val="left" w:pos="0"/>
              </w:tabs>
              <w:spacing w:line="300" w:lineRule="exact"/>
              <w:jc w:val="center"/>
              <w:rPr>
                <w:rFonts w:ascii="Times New Roman" w:hAnsi="Times New Roman" w:eastAsia="仿宋_GB2312" w:cs="Times New Roman"/>
                <w:sz w:val="21"/>
                <w:szCs w:val="21"/>
              </w:rPr>
            </w:pPr>
          </w:p>
        </w:tc>
        <w:tc>
          <w:tcPr>
            <w:tcW w:w="1497" w:type="dxa"/>
            <w:vAlign w:val="center"/>
          </w:tcPr>
          <w:p>
            <w:pPr>
              <w:spacing w:line="30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队伍建设</w:t>
            </w:r>
          </w:p>
        </w:tc>
        <w:tc>
          <w:tcPr>
            <w:tcW w:w="5300" w:type="dxa"/>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jc w:val="both"/>
              <w:textAlignment w:val="auto"/>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rPr>
              <w:t>1. 固定科研人员和流动人员情况：固定科研人员的数量（一般不低于30人）、双</w:t>
            </w:r>
            <w:r>
              <w:rPr>
                <w:rFonts w:ascii="Times New Roman" w:hAnsi="Times New Roman" w:eastAsia="仿宋_GB2312" w:cs="Times New Roman"/>
                <w:color w:val="000000"/>
                <w:sz w:val="21"/>
                <w:szCs w:val="21"/>
              </w:rPr>
              <w:t>聘等</w:t>
            </w:r>
            <w:r>
              <w:rPr>
                <w:rFonts w:hint="eastAsia" w:ascii="Times New Roman" w:hAnsi="Times New Roman" w:eastAsia="仿宋_GB2312" w:cs="Times New Roman"/>
                <w:color w:val="000000"/>
                <w:sz w:val="21"/>
                <w:szCs w:val="21"/>
              </w:rPr>
              <w:t>流动科研人员数量</w:t>
            </w:r>
            <w:r>
              <w:rPr>
                <w:rFonts w:ascii="Times New Roman" w:hAnsi="Times New Roman" w:eastAsia="仿宋_GB2312" w:cs="Times New Roman"/>
                <w:color w:val="000000"/>
                <w:sz w:val="21"/>
                <w:szCs w:val="21"/>
              </w:rPr>
              <w:t>及</w:t>
            </w:r>
            <w:r>
              <w:rPr>
                <w:rFonts w:hint="eastAsia" w:ascii="Times New Roman" w:hAnsi="Times New Roman" w:eastAsia="仿宋_GB2312" w:cs="Times New Roman"/>
                <w:color w:val="000000"/>
                <w:sz w:val="21"/>
                <w:szCs w:val="21"/>
              </w:rPr>
              <w:t>在</w:t>
            </w:r>
            <w:r>
              <w:rPr>
                <w:rFonts w:ascii="Times New Roman" w:hAnsi="Times New Roman" w:eastAsia="仿宋_GB2312" w:cs="Times New Roman"/>
                <w:color w:val="000000"/>
                <w:sz w:val="21"/>
                <w:szCs w:val="21"/>
              </w:rPr>
              <w:t>中心</w:t>
            </w:r>
            <w:r>
              <w:rPr>
                <w:rFonts w:hint="eastAsia" w:ascii="Times New Roman" w:hAnsi="Times New Roman" w:eastAsia="仿宋_GB2312" w:cs="Times New Roman"/>
                <w:color w:val="000000"/>
                <w:sz w:val="21"/>
                <w:szCs w:val="21"/>
              </w:rPr>
              <w:t>工</w:t>
            </w:r>
            <w:r>
              <w:rPr>
                <w:rFonts w:ascii="Times New Roman" w:hAnsi="Times New Roman" w:eastAsia="仿宋_GB2312" w:cs="Times New Roman"/>
                <w:color w:val="000000"/>
                <w:sz w:val="21"/>
                <w:szCs w:val="21"/>
              </w:rPr>
              <w:t>作时长</w:t>
            </w:r>
            <w:r>
              <w:rPr>
                <w:rFonts w:hint="eastAsia" w:ascii="Times New Roman" w:hAnsi="Times New Roman" w:eastAsia="仿宋_GB2312" w:cs="Times New Roman"/>
                <w:color w:val="000000"/>
                <w:sz w:val="21"/>
                <w:szCs w:val="21"/>
              </w:rPr>
              <w:t>，人才队伍发展变化趋势；</w:t>
            </w:r>
          </w:p>
          <w:p>
            <w:pPr>
              <w:keepNext w:val="0"/>
              <w:keepLines w:val="0"/>
              <w:pageBreakBefore w:val="0"/>
              <w:kinsoku/>
              <w:wordWrap/>
              <w:overflowPunct/>
              <w:topLinePunct w:val="0"/>
              <w:autoSpaceDE/>
              <w:autoSpaceDN/>
              <w:bidi w:val="0"/>
              <w:adjustRightInd/>
              <w:snapToGrid/>
              <w:spacing w:before="0" w:beforeLines="0" w:after="0" w:afterLines="0" w:line="320" w:lineRule="exact"/>
              <w:jc w:val="both"/>
              <w:textAlignment w:val="auto"/>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rPr>
              <w:t>2. 主要技术带头人：中心主任及各方向技术带头人的技术水平、影响力和作用发挥；</w:t>
            </w:r>
          </w:p>
          <w:p>
            <w:pPr>
              <w:keepNext w:val="0"/>
              <w:keepLines w:val="0"/>
              <w:pageBreakBefore w:val="0"/>
              <w:kinsoku/>
              <w:wordWrap/>
              <w:overflowPunct/>
              <w:topLinePunct w:val="0"/>
              <w:autoSpaceDE/>
              <w:autoSpaceDN/>
              <w:bidi w:val="0"/>
              <w:adjustRightInd/>
              <w:snapToGrid/>
              <w:spacing w:before="0" w:beforeLines="0" w:after="0" w:afterLines="0" w:line="320" w:lineRule="exact"/>
              <w:jc w:val="both"/>
              <w:textAlignment w:val="auto"/>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rPr>
              <w:t>3. 新增高层次人才和创新团队：新增高层次人才；获得自治</w:t>
            </w:r>
            <w:r>
              <w:rPr>
                <w:rFonts w:ascii="Times New Roman" w:hAnsi="Times New Roman" w:eastAsia="仿宋_GB2312" w:cs="Times New Roman"/>
                <w:color w:val="000000"/>
                <w:sz w:val="21"/>
                <w:szCs w:val="21"/>
              </w:rPr>
              <w:t>区</w:t>
            </w:r>
            <w:r>
              <w:rPr>
                <w:rFonts w:hint="eastAsia" w:ascii="Times New Roman" w:hAnsi="Times New Roman" w:eastAsia="仿宋_GB2312" w:cs="Times New Roman"/>
                <w:color w:val="000000"/>
                <w:sz w:val="21"/>
                <w:szCs w:val="21"/>
              </w:rPr>
              <w:t>级以上政府部门支持的优秀创新团队;</w:t>
            </w:r>
          </w:p>
          <w:p>
            <w:pPr>
              <w:keepNext w:val="0"/>
              <w:keepLines w:val="0"/>
              <w:pageBreakBefore w:val="0"/>
              <w:kinsoku/>
              <w:wordWrap/>
              <w:overflowPunct/>
              <w:topLinePunct w:val="0"/>
              <w:autoSpaceDE/>
              <w:autoSpaceDN/>
              <w:bidi w:val="0"/>
              <w:adjustRightInd/>
              <w:snapToGrid/>
              <w:spacing w:before="0" w:beforeLines="0" w:after="0" w:afterLines="0" w:line="320" w:lineRule="exact"/>
              <w:jc w:val="both"/>
              <w:textAlignment w:val="auto"/>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rPr>
              <w:t>4. 固定人员培养：固定人员学历层</w:t>
            </w:r>
            <w:r>
              <w:rPr>
                <w:rFonts w:ascii="Times New Roman" w:hAnsi="Times New Roman" w:eastAsia="仿宋_GB2312" w:cs="Times New Roman"/>
                <w:color w:val="000000"/>
                <w:sz w:val="21"/>
                <w:szCs w:val="21"/>
              </w:rPr>
              <w:t>次</w:t>
            </w:r>
            <w:r>
              <w:rPr>
                <w:rFonts w:hint="eastAsia" w:ascii="Times New Roman" w:hAnsi="Times New Roman" w:eastAsia="仿宋_GB2312" w:cs="Times New Roman"/>
                <w:color w:val="000000"/>
                <w:sz w:val="21"/>
                <w:szCs w:val="21"/>
              </w:rPr>
              <w:t>、职称晋升情况和技术水平提升情况。</w:t>
            </w:r>
          </w:p>
        </w:tc>
        <w:tc>
          <w:tcPr>
            <w:tcW w:w="688" w:type="dxa"/>
            <w:vAlign w:val="center"/>
          </w:tcPr>
          <w:p>
            <w:pPr>
              <w:spacing w:line="30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29" w:hRule="atLeast"/>
          <w:jc w:val="center"/>
        </w:trPr>
        <w:tc>
          <w:tcPr>
            <w:tcW w:w="1180" w:type="dxa"/>
            <w:vMerge w:val="continue"/>
            <w:vAlign w:val="center"/>
          </w:tcPr>
          <w:p>
            <w:pPr>
              <w:tabs>
                <w:tab w:val="left" w:pos="0"/>
              </w:tabs>
              <w:spacing w:line="300" w:lineRule="exact"/>
              <w:jc w:val="center"/>
              <w:rPr>
                <w:rFonts w:ascii="Times New Roman" w:hAnsi="Times New Roman" w:eastAsia="仿宋_GB2312" w:cs="Times New Roman"/>
                <w:sz w:val="21"/>
                <w:szCs w:val="21"/>
              </w:rPr>
            </w:pPr>
          </w:p>
        </w:tc>
        <w:tc>
          <w:tcPr>
            <w:tcW w:w="1497" w:type="dxa"/>
            <w:vAlign w:val="center"/>
          </w:tcPr>
          <w:p>
            <w:pPr>
              <w:spacing w:line="300" w:lineRule="exact"/>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基础设施</w:t>
            </w:r>
          </w:p>
        </w:tc>
        <w:tc>
          <w:tcPr>
            <w:tcW w:w="5300" w:type="dxa"/>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jc w:val="both"/>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 办公条件</w:t>
            </w:r>
            <w:r>
              <w:rPr>
                <w:rFonts w:ascii="Times New Roman" w:hAnsi="Times New Roman" w:eastAsia="仿宋_GB2312" w:cs="Times New Roman"/>
                <w:sz w:val="21"/>
                <w:szCs w:val="21"/>
              </w:rPr>
              <w:t>充分满足中心研发、办公、技术交流等需要</w:t>
            </w:r>
            <w:r>
              <w:rPr>
                <w:rFonts w:hint="eastAsia" w:ascii="Times New Roman" w:hAnsi="Times New Roman" w:eastAsia="仿宋_GB2312" w:cs="Times New Roman"/>
                <w:sz w:val="21"/>
                <w:szCs w:val="21"/>
              </w:rPr>
              <w:t>；</w:t>
            </w:r>
          </w:p>
          <w:p>
            <w:pPr>
              <w:keepNext w:val="0"/>
              <w:keepLines w:val="0"/>
              <w:pageBreakBefore w:val="0"/>
              <w:kinsoku/>
              <w:wordWrap/>
              <w:overflowPunct/>
              <w:topLinePunct w:val="0"/>
              <w:autoSpaceDE/>
              <w:autoSpaceDN/>
              <w:bidi w:val="0"/>
              <w:adjustRightInd/>
              <w:snapToGrid/>
              <w:spacing w:before="0" w:beforeLines="0" w:after="0" w:afterLines="0" w:line="320" w:lineRule="exact"/>
              <w:jc w:val="both"/>
              <w:textAlignment w:val="auto"/>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rPr>
              <w:t>2. 现有仪器设备的总数量及原值总值、仪器设备使用率</w:t>
            </w:r>
            <w:r>
              <w:rPr>
                <w:rFonts w:hint="eastAsia" w:ascii="Times New Roman" w:hAnsi="Times New Roman" w:eastAsia="仿宋_GB2312" w:cs="Times New Roman"/>
                <w:sz w:val="21"/>
                <w:szCs w:val="21"/>
                <w:lang w:eastAsia="zh-CN"/>
              </w:rPr>
              <w:t>；</w:t>
            </w:r>
          </w:p>
          <w:p>
            <w:pPr>
              <w:keepNext w:val="0"/>
              <w:keepLines w:val="0"/>
              <w:pageBreakBefore w:val="0"/>
              <w:kinsoku/>
              <w:wordWrap/>
              <w:overflowPunct/>
              <w:topLinePunct w:val="0"/>
              <w:autoSpaceDE/>
              <w:autoSpaceDN/>
              <w:bidi w:val="0"/>
              <w:adjustRightInd/>
              <w:snapToGrid/>
              <w:spacing w:before="0" w:beforeLines="0" w:after="0" w:afterLines="0" w:line="320" w:lineRule="exact"/>
              <w:jc w:val="both"/>
              <w:textAlignment w:val="auto"/>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rPr>
              <w:t xml:space="preserve">3. </w:t>
            </w:r>
            <w:r>
              <w:rPr>
                <w:rFonts w:ascii="Times New Roman" w:hAnsi="Times New Roman" w:eastAsia="仿宋_GB2312" w:cs="Times New Roman"/>
                <w:sz w:val="21"/>
                <w:szCs w:val="21"/>
              </w:rPr>
              <w:t>新增先进仪器设备、软件、中试生产线设备</w:t>
            </w:r>
            <w:r>
              <w:rPr>
                <w:rFonts w:hint="eastAsia" w:ascii="Times New Roman" w:hAnsi="Times New Roman" w:eastAsia="仿宋_GB2312" w:cs="Times New Roman"/>
                <w:sz w:val="21"/>
                <w:szCs w:val="21"/>
              </w:rPr>
              <w:t>情况</w:t>
            </w:r>
            <w:r>
              <w:rPr>
                <w:rFonts w:hint="eastAsia" w:ascii="Times New Roman" w:hAnsi="Times New Roman" w:eastAsia="仿宋_GB2312" w:cs="Times New Roman"/>
                <w:sz w:val="21"/>
                <w:szCs w:val="21"/>
                <w:lang w:eastAsia="zh-CN"/>
              </w:rPr>
              <w:t>。</w:t>
            </w:r>
          </w:p>
        </w:tc>
        <w:tc>
          <w:tcPr>
            <w:tcW w:w="688" w:type="dxa"/>
            <w:vAlign w:val="center"/>
          </w:tcPr>
          <w:p>
            <w:pPr>
              <w:spacing w:line="30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5</w:t>
            </w:r>
            <w:r>
              <w:rPr>
                <w:rFonts w:hint="eastAsia"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55" w:hRule="atLeast"/>
          <w:jc w:val="center"/>
        </w:trPr>
        <w:tc>
          <w:tcPr>
            <w:tcW w:w="1180" w:type="dxa"/>
            <w:vMerge w:val="restart"/>
            <w:vAlign w:val="center"/>
          </w:tcPr>
          <w:p>
            <w:pPr>
              <w:tabs>
                <w:tab w:val="left" w:pos="0"/>
              </w:tabs>
              <w:spacing w:line="300" w:lineRule="exact"/>
              <w:jc w:val="center"/>
              <w:rPr>
                <w:rFonts w:ascii="Times New Roman" w:hAnsi="Times New Roman" w:eastAsia="仿宋_GB2312" w:cs="Times New Roman"/>
                <w:sz w:val="21"/>
                <w:szCs w:val="21"/>
              </w:rPr>
            </w:pPr>
            <w:r>
              <w:rPr>
                <w:rFonts w:hint="eastAsia" w:ascii="Times New Roman" w:hAnsi="Times New Roman" w:eastAsia="仿宋_GB2312" w:cs="Times New Roman"/>
                <w:b/>
                <w:color w:val="000000"/>
                <w:sz w:val="21"/>
                <w:szCs w:val="21"/>
              </w:rPr>
              <w:t>科研产出</w:t>
            </w:r>
            <w:r>
              <w:rPr>
                <w:rFonts w:hint="eastAsia" w:ascii="Times New Roman" w:hAnsi="Times New Roman" w:eastAsia="仿宋_GB2312" w:cs="Times New Roman"/>
                <w:bCs/>
                <w:color w:val="000000"/>
                <w:sz w:val="21"/>
                <w:szCs w:val="21"/>
              </w:rPr>
              <w:t>（</w:t>
            </w:r>
            <w:r>
              <w:rPr>
                <w:rFonts w:ascii="Times New Roman" w:hAnsi="Times New Roman" w:eastAsia="仿宋_GB2312" w:cs="Times New Roman"/>
                <w:bCs/>
                <w:color w:val="000000"/>
                <w:sz w:val="21"/>
                <w:szCs w:val="21"/>
              </w:rPr>
              <w:t>35</w:t>
            </w:r>
            <w:r>
              <w:rPr>
                <w:rFonts w:hint="eastAsia" w:ascii="Times New Roman" w:hAnsi="Times New Roman" w:eastAsia="仿宋_GB2312" w:cs="Times New Roman"/>
                <w:bCs/>
                <w:color w:val="000000"/>
                <w:sz w:val="21"/>
                <w:szCs w:val="21"/>
              </w:rPr>
              <w:t>%）</w:t>
            </w:r>
          </w:p>
        </w:tc>
        <w:tc>
          <w:tcPr>
            <w:tcW w:w="1497" w:type="dxa"/>
            <w:vAlign w:val="center"/>
          </w:tcPr>
          <w:p>
            <w:pPr>
              <w:tabs>
                <w:tab w:val="left" w:pos="0"/>
              </w:tabs>
              <w:spacing w:line="300" w:lineRule="exact"/>
              <w:jc w:val="center"/>
              <w:rPr>
                <w:rFonts w:ascii="Times New Roman" w:hAnsi="Times New Roman" w:eastAsia="仿宋_GB2312" w:cs="Times New Roman"/>
                <w:color w:val="FF0000"/>
                <w:sz w:val="21"/>
                <w:szCs w:val="21"/>
              </w:rPr>
            </w:pPr>
            <w:r>
              <w:rPr>
                <w:rFonts w:hint="eastAsia" w:ascii="Times New Roman" w:hAnsi="Times New Roman" w:eastAsia="仿宋_GB2312" w:cs="Times New Roman"/>
                <w:color w:val="000000"/>
                <w:sz w:val="21"/>
                <w:szCs w:val="21"/>
              </w:rPr>
              <w:t>重大技术成果</w:t>
            </w:r>
          </w:p>
        </w:tc>
        <w:tc>
          <w:tcPr>
            <w:tcW w:w="5300" w:type="dxa"/>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jc w:val="both"/>
              <w:textAlignment w:val="auto"/>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rPr>
              <w:t>1. 解决“卡脖子”技术难题，取得有自主产权，打破国外垄断；</w:t>
            </w:r>
          </w:p>
          <w:p>
            <w:pPr>
              <w:keepNext w:val="0"/>
              <w:keepLines w:val="0"/>
              <w:pageBreakBefore w:val="0"/>
              <w:kinsoku/>
              <w:wordWrap/>
              <w:overflowPunct/>
              <w:topLinePunct w:val="0"/>
              <w:autoSpaceDE/>
              <w:autoSpaceDN/>
              <w:bidi w:val="0"/>
              <w:adjustRightInd/>
              <w:snapToGrid/>
              <w:spacing w:before="0" w:beforeLines="0" w:after="0" w:afterLines="0" w:line="320" w:lineRule="exact"/>
              <w:jc w:val="both"/>
              <w:textAlignment w:val="auto"/>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rPr>
              <w:t>2. 突破整个或者多个产业重大共性关键技术；</w:t>
            </w:r>
          </w:p>
          <w:p>
            <w:pPr>
              <w:keepNext w:val="0"/>
              <w:keepLines w:val="0"/>
              <w:pageBreakBefore w:val="0"/>
              <w:kinsoku/>
              <w:wordWrap/>
              <w:overflowPunct/>
              <w:topLinePunct w:val="0"/>
              <w:autoSpaceDE/>
              <w:autoSpaceDN/>
              <w:bidi w:val="0"/>
              <w:adjustRightInd/>
              <w:snapToGrid/>
              <w:spacing w:before="0" w:beforeLines="0" w:after="0" w:afterLines="0" w:line="320" w:lineRule="exact"/>
              <w:jc w:val="both"/>
              <w:textAlignment w:val="auto"/>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rPr>
              <w:t>3. 开展前沿技术研究，突破该领域中具有前瞻性、先导性和探索性的重大技术。</w:t>
            </w:r>
          </w:p>
        </w:tc>
        <w:tc>
          <w:tcPr>
            <w:tcW w:w="688" w:type="dxa"/>
            <w:vAlign w:val="center"/>
          </w:tcPr>
          <w:p>
            <w:pPr>
              <w:spacing w:line="300" w:lineRule="exact"/>
              <w:jc w:val="center"/>
              <w:rPr>
                <w:rFonts w:ascii="Times New Roman" w:hAnsi="Times New Roman" w:eastAsia="仿宋_GB2312" w:cs="Times New Roman"/>
                <w:sz w:val="21"/>
                <w:szCs w:val="21"/>
              </w:rPr>
            </w:pPr>
            <w:r>
              <w:rPr>
                <w:rFonts w:ascii="Times New Roman" w:hAnsi="Times New Roman" w:eastAsia="仿宋_GB2312" w:cs="Times New Roman"/>
                <w:color w:val="000000"/>
                <w:sz w:val="21"/>
                <w:szCs w:val="21"/>
              </w:rPr>
              <w:t>15</w:t>
            </w:r>
            <w:r>
              <w:rPr>
                <w:rFonts w:hint="eastAsia" w:ascii="Times New Roman" w:hAnsi="Times New Roman" w:eastAsia="仿宋_GB2312" w:cs="Times New Roman"/>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43" w:hRule="atLeast"/>
          <w:jc w:val="center"/>
        </w:trPr>
        <w:tc>
          <w:tcPr>
            <w:tcW w:w="1180" w:type="dxa"/>
            <w:vMerge w:val="continue"/>
            <w:vAlign w:val="center"/>
          </w:tcPr>
          <w:p>
            <w:pPr>
              <w:tabs>
                <w:tab w:val="left" w:pos="0"/>
              </w:tabs>
              <w:spacing w:line="300" w:lineRule="exact"/>
              <w:jc w:val="center"/>
              <w:rPr>
                <w:rFonts w:ascii="Times New Roman" w:hAnsi="Times New Roman" w:eastAsia="仿宋_GB2312" w:cs="Times New Roman"/>
                <w:sz w:val="21"/>
                <w:szCs w:val="21"/>
              </w:rPr>
            </w:pPr>
          </w:p>
        </w:tc>
        <w:tc>
          <w:tcPr>
            <w:tcW w:w="1497" w:type="dxa"/>
            <w:vAlign w:val="center"/>
          </w:tcPr>
          <w:p>
            <w:pPr>
              <w:spacing w:line="30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知识产权</w:t>
            </w:r>
          </w:p>
        </w:tc>
        <w:tc>
          <w:tcPr>
            <w:tcW w:w="5300" w:type="dxa"/>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jc w:val="both"/>
              <w:textAlignment w:val="auto"/>
              <w:rPr>
                <w:rFonts w:hint="eastAsia"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w:t>
            </w:r>
            <w:r>
              <w:rPr>
                <w:rFonts w:hint="eastAsia" w:ascii="Times New Roman" w:hAnsi="Times New Roman" w:eastAsia="仿宋_GB2312" w:cs="Times New Roman"/>
                <w:color w:val="000000"/>
                <w:sz w:val="21"/>
                <w:szCs w:val="21"/>
              </w:rPr>
              <w:t xml:space="preserve">. </w:t>
            </w:r>
            <w:r>
              <w:rPr>
                <w:rFonts w:ascii="Times New Roman" w:hAnsi="Times New Roman" w:eastAsia="仿宋_GB2312" w:cs="Times New Roman"/>
                <w:color w:val="000000"/>
                <w:sz w:val="21"/>
                <w:szCs w:val="21"/>
              </w:rPr>
              <w:t>新技术、新工艺、新产品</w:t>
            </w:r>
            <w:r>
              <w:rPr>
                <w:rFonts w:hint="eastAsia" w:ascii="Times New Roman" w:hAnsi="Times New Roman" w:eastAsia="仿宋_GB2312" w:cs="Times New Roman"/>
                <w:color w:val="000000"/>
                <w:sz w:val="21"/>
                <w:szCs w:val="21"/>
              </w:rPr>
              <w:t>、</w:t>
            </w:r>
            <w:r>
              <w:rPr>
                <w:rFonts w:ascii="Times New Roman" w:hAnsi="Times New Roman" w:eastAsia="仿宋_GB2312" w:cs="Times New Roman"/>
                <w:color w:val="000000"/>
                <w:sz w:val="21"/>
                <w:szCs w:val="21"/>
              </w:rPr>
              <w:t>专有技术</w:t>
            </w:r>
            <w:r>
              <w:rPr>
                <w:rFonts w:hint="eastAsia" w:ascii="Times New Roman" w:hAnsi="Times New Roman" w:eastAsia="仿宋_GB2312" w:cs="Times New Roman"/>
                <w:color w:val="000000"/>
                <w:sz w:val="21"/>
                <w:szCs w:val="21"/>
              </w:rPr>
              <w:t>、一类新药证</w:t>
            </w:r>
            <w:r>
              <w:rPr>
                <w:rFonts w:hint="eastAsia" w:ascii="Times New Roman" w:hAnsi="Times New Roman" w:eastAsia="仿宋_GB2312" w:cs="Times New Roman"/>
                <w:sz w:val="21"/>
                <w:szCs w:val="21"/>
              </w:rPr>
              <w:t>书、动植物新品种等</w:t>
            </w:r>
            <w:r>
              <w:rPr>
                <w:rFonts w:hint="eastAsia" w:ascii="Times New Roman" w:hAnsi="Times New Roman" w:eastAsia="仿宋_GB2312" w:cs="Times New Roman"/>
                <w:sz w:val="21"/>
                <w:szCs w:val="21"/>
                <w:lang w:eastAsia="zh-CN"/>
              </w:rPr>
              <w:t>；</w:t>
            </w:r>
          </w:p>
          <w:p>
            <w:pPr>
              <w:keepNext w:val="0"/>
              <w:keepLines w:val="0"/>
              <w:pageBreakBefore w:val="0"/>
              <w:kinsoku/>
              <w:wordWrap/>
              <w:overflowPunct/>
              <w:topLinePunct w:val="0"/>
              <w:autoSpaceDE/>
              <w:autoSpaceDN/>
              <w:bidi w:val="0"/>
              <w:adjustRightInd/>
              <w:snapToGrid/>
              <w:spacing w:before="0" w:beforeLines="0" w:after="0" w:afterLines="0" w:line="320" w:lineRule="exact"/>
              <w:jc w:val="both"/>
              <w:textAlignment w:val="auto"/>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 xml:space="preserve">2. </w:t>
            </w:r>
            <w:r>
              <w:rPr>
                <w:rFonts w:ascii="Times New Roman" w:hAnsi="Times New Roman" w:eastAsia="仿宋_GB2312" w:cs="Times New Roman"/>
                <w:sz w:val="21"/>
                <w:szCs w:val="21"/>
              </w:rPr>
              <w:t>取得</w:t>
            </w:r>
            <w:r>
              <w:rPr>
                <w:rFonts w:hint="eastAsia" w:ascii="Times New Roman" w:hAnsi="Times New Roman" w:eastAsia="仿宋_GB2312" w:cs="Times New Roman"/>
                <w:sz w:val="21"/>
                <w:szCs w:val="21"/>
              </w:rPr>
              <w:t>国家标准、地方标准、行业标准、团体标准、企业标准；</w:t>
            </w:r>
          </w:p>
          <w:p>
            <w:pPr>
              <w:keepNext w:val="0"/>
              <w:keepLines w:val="0"/>
              <w:pageBreakBefore w:val="0"/>
              <w:kinsoku/>
              <w:wordWrap/>
              <w:overflowPunct/>
              <w:topLinePunct w:val="0"/>
              <w:autoSpaceDE/>
              <w:autoSpaceDN/>
              <w:bidi w:val="0"/>
              <w:adjustRightInd/>
              <w:snapToGrid/>
              <w:spacing w:before="0" w:beforeLines="0" w:after="0" w:afterLines="0" w:line="320" w:lineRule="exact"/>
              <w:jc w:val="both"/>
              <w:textAlignment w:val="auto"/>
              <w:rPr>
                <w:rFonts w:hint="eastAsia"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3</w:t>
            </w:r>
            <w:r>
              <w:rPr>
                <w:rFonts w:hint="eastAsia" w:ascii="Times New Roman" w:hAnsi="Times New Roman" w:eastAsia="仿宋_GB2312" w:cs="Times New Roman"/>
                <w:color w:val="000000"/>
                <w:sz w:val="21"/>
                <w:szCs w:val="21"/>
              </w:rPr>
              <w:t>. 高价值</w:t>
            </w:r>
            <w:r>
              <w:rPr>
                <w:rFonts w:ascii="Times New Roman" w:hAnsi="Times New Roman" w:eastAsia="仿宋_GB2312" w:cs="Times New Roman"/>
                <w:color w:val="000000"/>
                <w:sz w:val="21"/>
                <w:szCs w:val="21"/>
              </w:rPr>
              <w:t>专利</w:t>
            </w:r>
            <w:r>
              <w:rPr>
                <w:rFonts w:hint="eastAsia" w:ascii="Times New Roman" w:hAnsi="Times New Roman" w:eastAsia="仿宋_GB2312" w:cs="Times New Roman"/>
                <w:color w:val="000000"/>
                <w:sz w:val="21"/>
                <w:szCs w:val="21"/>
              </w:rPr>
              <w:t>情况</w:t>
            </w:r>
            <w:r>
              <w:rPr>
                <w:rFonts w:hint="eastAsia" w:ascii="Times New Roman" w:hAnsi="Times New Roman" w:eastAsia="仿宋_GB2312" w:cs="Times New Roman"/>
                <w:color w:val="000000"/>
                <w:sz w:val="21"/>
                <w:szCs w:val="21"/>
                <w:lang w:eastAsia="zh-CN"/>
              </w:rPr>
              <w:t>。</w:t>
            </w:r>
          </w:p>
        </w:tc>
        <w:tc>
          <w:tcPr>
            <w:tcW w:w="688" w:type="dxa"/>
            <w:vAlign w:val="center"/>
          </w:tcPr>
          <w:p>
            <w:pPr>
              <w:spacing w:line="30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15</w:t>
            </w:r>
            <w:r>
              <w:rPr>
                <w:rFonts w:hint="eastAsia" w:ascii="Times New Roman" w:hAnsi="Times New Roman" w:eastAsia="仿宋_GB2312" w:cs="Times New Roman"/>
                <w:color w:val="000000"/>
                <w:sz w:val="21"/>
                <w:szCs w:val="21"/>
              </w:rPr>
              <w:t>%</w:t>
            </w:r>
          </w:p>
          <w:p>
            <w:pPr>
              <w:spacing w:line="300" w:lineRule="exact"/>
              <w:jc w:val="center"/>
              <w:rPr>
                <w:rFonts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jc w:val="center"/>
        </w:trPr>
        <w:tc>
          <w:tcPr>
            <w:tcW w:w="1180" w:type="dxa"/>
            <w:vMerge w:val="continue"/>
            <w:vAlign w:val="center"/>
          </w:tcPr>
          <w:p>
            <w:pPr>
              <w:tabs>
                <w:tab w:val="left" w:pos="0"/>
              </w:tabs>
              <w:spacing w:line="300" w:lineRule="exact"/>
              <w:jc w:val="center"/>
              <w:rPr>
                <w:rFonts w:ascii="Times New Roman" w:hAnsi="Times New Roman" w:eastAsia="仿宋_GB2312" w:cs="Times New Roman"/>
                <w:sz w:val="21"/>
                <w:szCs w:val="21"/>
              </w:rPr>
            </w:pPr>
          </w:p>
        </w:tc>
        <w:tc>
          <w:tcPr>
            <w:tcW w:w="1497" w:type="dxa"/>
            <w:vAlign w:val="center"/>
          </w:tcPr>
          <w:p>
            <w:pPr>
              <w:tabs>
                <w:tab w:val="left" w:pos="0"/>
              </w:tabs>
              <w:spacing w:line="300" w:lineRule="exact"/>
              <w:jc w:val="center"/>
              <w:rPr>
                <w:rFonts w:ascii="Times New Roman" w:hAnsi="Times New Roman" w:eastAsia="仿宋_GB2312" w:cs="Times New Roman"/>
                <w:color w:val="FF0000"/>
                <w:sz w:val="21"/>
                <w:szCs w:val="21"/>
              </w:rPr>
            </w:pPr>
            <w:r>
              <w:rPr>
                <w:rFonts w:hint="eastAsia" w:ascii="Times New Roman" w:hAnsi="Times New Roman" w:eastAsia="仿宋_GB2312" w:cs="Times New Roman"/>
                <w:color w:val="000000"/>
                <w:sz w:val="21"/>
                <w:szCs w:val="21"/>
              </w:rPr>
              <w:t>科技</w:t>
            </w:r>
            <w:r>
              <w:rPr>
                <w:rFonts w:ascii="Times New Roman" w:hAnsi="Times New Roman" w:eastAsia="仿宋_GB2312" w:cs="Times New Roman"/>
                <w:color w:val="000000"/>
                <w:sz w:val="21"/>
                <w:szCs w:val="21"/>
              </w:rPr>
              <w:t>奖励</w:t>
            </w:r>
          </w:p>
        </w:tc>
        <w:tc>
          <w:tcPr>
            <w:tcW w:w="5300" w:type="dxa"/>
            <w:vAlign w:val="center"/>
          </w:tcPr>
          <w:p>
            <w:pPr>
              <w:keepNext w:val="0"/>
              <w:keepLines w:val="0"/>
              <w:pageBreakBefore w:val="0"/>
              <w:tabs>
                <w:tab w:val="left" w:pos="0"/>
              </w:tabs>
              <w:kinsoku/>
              <w:wordWrap/>
              <w:overflowPunct/>
              <w:topLinePunct w:val="0"/>
              <w:autoSpaceDE/>
              <w:autoSpaceDN/>
              <w:bidi w:val="0"/>
              <w:adjustRightInd/>
              <w:snapToGrid/>
              <w:spacing w:before="157" w:beforeLines="50" w:after="157" w:afterLines="50" w:line="300" w:lineRule="exact"/>
              <w:jc w:val="both"/>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获得国家或省部级科学技术奖励的情况及中心人员对获奖成果的贡献。</w:t>
            </w:r>
          </w:p>
        </w:tc>
        <w:tc>
          <w:tcPr>
            <w:tcW w:w="688" w:type="dxa"/>
            <w:vAlign w:val="center"/>
          </w:tcPr>
          <w:p>
            <w:pPr>
              <w:tabs>
                <w:tab w:val="left" w:pos="0"/>
              </w:tabs>
              <w:spacing w:line="30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5</w:t>
            </w:r>
            <w:r>
              <w:rPr>
                <w:rFonts w:hint="eastAsia"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9" w:hRule="atLeast"/>
          <w:jc w:val="center"/>
        </w:trPr>
        <w:tc>
          <w:tcPr>
            <w:tcW w:w="1180" w:type="dxa"/>
            <w:vMerge w:val="restart"/>
            <w:vAlign w:val="center"/>
          </w:tcPr>
          <w:p>
            <w:pPr>
              <w:tabs>
                <w:tab w:val="left" w:pos="0"/>
              </w:tabs>
              <w:spacing w:line="30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b/>
                <w:color w:val="000000"/>
                <w:sz w:val="21"/>
                <w:szCs w:val="21"/>
              </w:rPr>
              <w:t>社会服务</w:t>
            </w:r>
            <w:r>
              <w:rPr>
                <w:rFonts w:ascii="Times New Roman" w:hAnsi="Times New Roman" w:eastAsia="仿宋_GB2312" w:cs="Times New Roman"/>
                <w:color w:val="000000"/>
                <w:sz w:val="21"/>
                <w:szCs w:val="21"/>
              </w:rPr>
              <w:t>（</w:t>
            </w:r>
            <w:r>
              <w:rPr>
                <w:rFonts w:hint="eastAsia" w:ascii="Times New Roman" w:hAnsi="Times New Roman" w:eastAsia="仿宋_GB2312" w:cs="Times New Roman"/>
                <w:color w:val="000000"/>
                <w:sz w:val="21"/>
                <w:szCs w:val="21"/>
              </w:rPr>
              <w:t>30%</w:t>
            </w:r>
            <w:r>
              <w:rPr>
                <w:rFonts w:ascii="Times New Roman" w:hAnsi="Times New Roman" w:eastAsia="仿宋_GB2312" w:cs="Times New Roman"/>
                <w:color w:val="000000"/>
                <w:sz w:val="21"/>
                <w:szCs w:val="21"/>
              </w:rPr>
              <w:t>）</w:t>
            </w:r>
          </w:p>
        </w:tc>
        <w:tc>
          <w:tcPr>
            <w:tcW w:w="1497" w:type="dxa"/>
            <w:tcBorders>
              <w:bottom w:val="single" w:color="auto" w:sz="4" w:space="0"/>
            </w:tcBorders>
            <w:vAlign w:val="center"/>
          </w:tcPr>
          <w:p>
            <w:pPr>
              <w:spacing w:line="30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成果转化</w:t>
            </w:r>
          </w:p>
        </w:tc>
        <w:tc>
          <w:tcPr>
            <w:tcW w:w="5300"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jc w:val="both"/>
              <w:textAlignment w:val="auto"/>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rPr>
              <w:t>1</w:t>
            </w:r>
            <w:r>
              <w:rPr>
                <w:rFonts w:ascii="Times New Roman" w:hAnsi="Times New Roman" w:eastAsia="仿宋_GB2312" w:cs="Times New Roman"/>
                <w:sz w:val="21"/>
                <w:szCs w:val="21"/>
              </w:rPr>
              <w:t>.</w:t>
            </w:r>
            <w:r>
              <w:rPr>
                <w:rFonts w:hint="eastAsia" w:ascii="Times New Roman" w:hAnsi="Times New Roman" w:eastAsia="仿宋_GB2312" w:cs="Times New Roman"/>
                <w:sz w:val="21"/>
                <w:szCs w:val="21"/>
              </w:rPr>
              <w:t>技术攻关总量、</w:t>
            </w:r>
            <w:r>
              <w:rPr>
                <w:rFonts w:ascii="Times New Roman" w:hAnsi="Times New Roman" w:eastAsia="仿宋_GB2312" w:cs="Times New Roman"/>
                <w:sz w:val="21"/>
                <w:szCs w:val="21"/>
              </w:rPr>
              <w:t>产出成果</w:t>
            </w:r>
            <w:r>
              <w:rPr>
                <w:rFonts w:hint="eastAsia" w:ascii="Times New Roman" w:hAnsi="Times New Roman" w:eastAsia="仿宋_GB2312" w:cs="Times New Roman"/>
                <w:sz w:val="21"/>
                <w:szCs w:val="21"/>
              </w:rPr>
              <w:t>数量及</w:t>
            </w:r>
            <w:r>
              <w:rPr>
                <w:rFonts w:ascii="Times New Roman" w:hAnsi="Times New Roman" w:eastAsia="仿宋_GB2312" w:cs="Times New Roman"/>
                <w:sz w:val="21"/>
                <w:szCs w:val="21"/>
              </w:rPr>
              <w:t>发展趋势</w:t>
            </w:r>
            <w:r>
              <w:rPr>
                <w:rFonts w:hint="eastAsia" w:ascii="Times New Roman" w:hAnsi="Times New Roman" w:eastAsia="仿宋_GB2312" w:cs="Times New Roman"/>
                <w:sz w:val="21"/>
                <w:szCs w:val="21"/>
                <w:lang w:eastAsia="zh-CN"/>
              </w:rPr>
              <w:t>；</w:t>
            </w:r>
          </w:p>
          <w:p>
            <w:pPr>
              <w:keepNext w:val="0"/>
              <w:keepLines w:val="0"/>
              <w:pageBreakBefore w:val="0"/>
              <w:kinsoku/>
              <w:wordWrap/>
              <w:overflowPunct/>
              <w:topLinePunct w:val="0"/>
              <w:autoSpaceDE/>
              <w:autoSpaceDN/>
              <w:bidi w:val="0"/>
              <w:adjustRightInd/>
              <w:snapToGrid/>
              <w:spacing w:before="0" w:beforeLines="0" w:after="0" w:afterLines="0" w:line="300" w:lineRule="exact"/>
              <w:jc w:val="both"/>
              <w:textAlignment w:val="auto"/>
              <w:rPr>
                <w:rFonts w:ascii="Times New Roman" w:hAnsi="Times New Roman" w:eastAsia="仿宋_GB2312" w:cs="Times New Roman"/>
                <w:color w:val="0000FF"/>
                <w:sz w:val="21"/>
                <w:szCs w:val="21"/>
              </w:rPr>
            </w:pPr>
            <w:r>
              <w:rPr>
                <w:rFonts w:hint="eastAsia" w:ascii="Times New Roman" w:hAnsi="Times New Roman" w:eastAsia="仿宋_GB2312" w:cs="Times New Roman"/>
                <w:color w:val="000000"/>
                <w:sz w:val="21"/>
                <w:szCs w:val="21"/>
              </w:rPr>
              <w:t>2</w:t>
            </w:r>
            <w:r>
              <w:rPr>
                <w:rFonts w:ascii="Times New Roman" w:hAnsi="Times New Roman" w:eastAsia="仿宋_GB2312" w:cs="Times New Roman"/>
                <w:color w:val="000000"/>
                <w:sz w:val="21"/>
                <w:szCs w:val="21"/>
              </w:rPr>
              <w:t>.</w:t>
            </w:r>
            <w:r>
              <w:rPr>
                <w:rFonts w:hint="eastAsia" w:ascii="Times New Roman" w:hAnsi="Times New Roman" w:eastAsia="仿宋_GB2312" w:cs="Times New Roman"/>
                <w:color w:val="000000"/>
                <w:sz w:val="21"/>
                <w:szCs w:val="21"/>
              </w:rPr>
              <w:t>实际转化应用成果数量、与近三年取得成果总数的比例及发展趋势。</w:t>
            </w:r>
          </w:p>
        </w:tc>
        <w:tc>
          <w:tcPr>
            <w:tcW w:w="688" w:type="dxa"/>
            <w:vAlign w:val="center"/>
          </w:tcPr>
          <w:p>
            <w:pPr>
              <w:widowControl/>
              <w:spacing w:line="300" w:lineRule="exact"/>
              <w:jc w:val="center"/>
              <w:rPr>
                <w:rFonts w:ascii="Times New Roman" w:hAnsi="Times New Roman" w:eastAsia="仿宋_GB2312" w:cs="Times New Roman"/>
                <w:color w:val="FF0000"/>
                <w:sz w:val="21"/>
                <w:szCs w:val="21"/>
              </w:rPr>
            </w:pPr>
            <w:r>
              <w:rPr>
                <w:rFonts w:hint="eastAsia" w:ascii="Times New Roman" w:hAnsi="Times New Roman" w:eastAsia="仿宋_GB2312"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7" w:hRule="atLeast"/>
          <w:jc w:val="center"/>
        </w:trPr>
        <w:tc>
          <w:tcPr>
            <w:tcW w:w="1180" w:type="dxa"/>
            <w:vMerge w:val="continue"/>
            <w:vAlign w:val="center"/>
          </w:tcPr>
          <w:p>
            <w:pPr>
              <w:tabs>
                <w:tab w:val="left" w:pos="0"/>
              </w:tabs>
              <w:spacing w:line="300" w:lineRule="exact"/>
              <w:jc w:val="center"/>
              <w:rPr>
                <w:rFonts w:ascii="Times New Roman" w:hAnsi="Times New Roman" w:eastAsia="仿宋_GB2312" w:cs="Times New Roman"/>
                <w:sz w:val="21"/>
                <w:szCs w:val="21"/>
              </w:rPr>
            </w:pPr>
          </w:p>
        </w:tc>
        <w:tc>
          <w:tcPr>
            <w:tcW w:w="1497" w:type="dxa"/>
            <w:vAlign w:val="center"/>
          </w:tcPr>
          <w:p>
            <w:pPr>
              <w:spacing w:line="30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产业贡献</w:t>
            </w:r>
          </w:p>
        </w:tc>
        <w:tc>
          <w:tcPr>
            <w:tcW w:w="5300"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jc w:val="both"/>
              <w:textAlignment w:val="auto"/>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rPr>
              <w:t>1.新产品生产、专利实施、新技术或新工艺应用为实施单位新增的销售收入、利润或经济效益情况</w:t>
            </w:r>
            <w:r>
              <w:rPr>
                <w:rFonts w:hint="eastAsia" w:ascii="Times New Roman" w:hAnsi="Times New Roman" w:eastAsia="仿宋_GB2312" w:cs="Times New Roman"/>
                <w:sz w:val="21"/>
                <w:szCs w:val="21"/>
                <w:lang w:eastAsia="zh-CN"/>
              </w:rPr>
              <w:t>；</w:t>
            </w:r>
          </w:p>
          <w:p>
            <w:pPr>
              <w:keepNext w:val="0"/>
              <w:keepLines w:val="0"/>
              <w:pageBreakBefore w:val="0"/>
              <w:widowControl/>
              <w:kinsoku/>
              <w:wordWrap/>
              <w:overflowPunct/>
              <w:topLinePunct w:val="0"/>
              <w:autoSpaceDE/>
              <w:autoSpaceDN/>
              <w:bidi w:val="0"/>
              <w:adjustRightInd/>
              <w:snapToGrid/>
              <w:spacing w:before="0" w:beforeLines="0" w:after="0" w:afterLines="0" w:line="300" w:lineRule="exact"/>
              <w:jc w:val="both"/>
              <w:textAlignment w:val="auto"/>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rPr>
              <w:t>2.专利、技术（工艺）合同转让情况；专利实施、新产品生产、新技术或新工艺应用为其他单位新增的销售收入、利润或经济效益情况</w:t>
            </w:r>
            <w:r>
              <w:rPr>
                <w:rFonts w:hint="eastAsia" w:ascii="Times New Roman" w:hAnsi="Times New Roman" w:eastAsia="仿宋_GB2312" w:cs="Times New Roman"/>
                <w:sz w:val="21"/>
                <w:szCs w:val="21"/>
                <w:lang w:eastAsia="zh-CN"/>
              </w:rPr>
              <w:t>；</w:t>
            </w:r>
          </w:p>
          <w:p>
            <w:pPr>
              <w:keepNext w:val="0"/>
              <w:keepLines w:val="0"/>
              <w:pageBreakBefore w:val="0"/>
              <w:widowControl/>
              <w:kinsoku/>
              <w:wordWrap/>
              <w:overflowPunct/>
              <w:topLinePunct w:val="0"/>
              <w:autoSpaceDE/>
              <w:autoSpaceDN/>
              <w:bidi w:val="0"/>
              <w:adjustRightInd/>
              <w:snapToGrid/>
              <w:spacing w:before="0" w:beforeLines="0" w:after="0" w:afterLines="0" w:line="300" w:lineRule="exact"/>
              <w:jc w:val="both"/>
              <w:textAlignment w:val="auto"/>
              <w:rPr>
                <w:rFonts w:hint="eastAsia" w:ascii="Times New Roman" w:hAnsi="Times New Roman" w:eastAsia="仿宋_GB2312" w:cs="Times New Roman"/>
                <w:color w:val="000000"/>
                <w:sz w:val="21"/>
                <w:szCs w:val="21"/>
                <w:lang w:eastAsia="zh-CN"/>
              </w:rPr>
            </w:pPr>
            <w:r>
              <w:rPr>
                <w:rFonts w:hint="eastAsia" w:ascii="Times New Roman" w:hAnsi="Times New Roman" w:eastAsia="仿宋_GB2312" w:cs="Times New Roman"/>
                <w:sz w:val="21"/>
                <w:szCs w:val="21"/>
              </w:rPr>
              <w:t>3.为行业中小企业提供技术与创新服务，</w:t>
            </w:r>
            <w:r>
              <w:rPr>
                <w:rFonts w:hint="eastAsia" w:ascii="Times New Roman" w:hAnsi="Times New Roman" w:eastAsia="仿宋_GB2312" w:cs="Times New Roman"/>
                <w:color w:val="000000"/>
                <w:sz w:val="21"/>
                <w:szCs w:val="21"/>
              </w:rPr>
              <w:t>孵化衍生科技型企业情况</w:t>
            </w:r>
            <w:r>
              <w:rPr>
                <w:rFonts w:hint="eastAsia" w:ascii="Times New Roman" w:hAnsi="Times New Roman" w:eastAsia="仿宋_GB2312" w:cs="Times New Roman"/>
                <w:color w:val="000000"/>
                <w:sz w:val="21"/>
                <w:szCs w:val="21"/>
                <w:lang w:eastAsia="zh-CN"/>
              </w:rPr>
              <w:t>；</w:t>
            </w:r>
          </w:p>
          <w:p>
            <w:pPr>
              <w:keepNext w:val="0"/>
              <w:keepLines w:val="0"/>
              <w:pageBreakBefore w:val="0"/>
              <w:widowControl/>
              <w:kinsoku/>
              <w:wordWrap/>
              <w:overflowPunct/>
              <w:topLinePunct w:val="0"/>
              <w:autoSpaceDE/>
              <w:autoSpaceDN/>
              <w:bidi w:val="0"/>
              <w:adjustRightInd/>
              <w:snapToGrid/>
              <w:spacing w:before="0" w:beforeLines="0" w:after="0" w:afterLines="0" w:line="300" w:lineRule="exact"/>
              <w:jc w:val="both"/>
              <w:textAlignment w:val="auto"/>
              <w:rPr>
                <w:rFonts w:ascii="Times New Roman" w:hAnsi="Times New Roman" w:eastAsia="仿宋_GB2312" w:cs="Times New Roman"/>
                <w:sz w:val="21"/>
                <w:szCs w:val="21"/>
              </w:rPr>
            </w:pPr>
            <w:r>
              <w:rPr>
                <w:rFonts w:hint="eastAsia" w:ascii="Times New Roman" w:hAnsi="Times New Roman" w:eastAsia="仿宋_GB2312" w:cs="Times New Roman"/>
                <w:color w:val="000000"/>
                <w:sz w:val="21"/>
                <w:szCs w:val="21"/>
              </w:rPr>
              <w:t>4.</w:t>
            </w:r>
            <w:r>
              <w:rPr>
                <w:rFonts w:hint="eastAsia" w:ascii="Times New Roman" w:hAnsi="Times New Roman" w:eastAsia="仿宋_GB2312" w:cs="Times New Roman"/>
                <w:sz w:val="21"/>
                <w:szCs w:val="21"/>
              </w:rPr>
              <w:t>梳理</w:t>
            </w:r>
            <w:r>
              <w:rPr>
                <w:rFonts w:ascii="Times New Roman" w:hAnsi="Times New Roman" w:eastAsia="仿宋_GB2312" w:cs="Times New Roman"/>
                <w:sz w:val="21"/>
                <w:szCs w:val="21"/>
              </w:rPr>
              <w:t>本领域技术需求</w:t>
            </w:r>
            <w:r>
              <w:rPr>
                <w:rFonts w:hint="eastAsia" w:ascii="Times New Roman" w:hAnsi="Times New Roman" w:eastAsia="仿宋_GB2312" w:cs="Times New Roman"/>
                <w:sz w:val="21"/>
                <w:szCs w:val="21"/>
              </w:rPr>
              <w:t>或</w:t>
            </w:r>
            <w:r>
              <w:rPr>
                <w:rFonts w:ascii="Times New Roman" w:hAnsi="Times New Roman" w:eastAsia="仿宋_GB2312" w:cs="Times New Roman"/>
                <w:sz w:val="21"/>
                <w:szCs w:val="21"/>
              </w:rPr>
              <w:t>技术预测情况。</w:t>
            </w:r>
          </w:p>
        </w:tc>
        <w:tc>
          <w:tcPr>
            <w:tcW w:w="688" w:type="dxa"/>
            <w:vAlign w:val="center"/>
          </w:tcPr>
          <w:p>
            <w:pPr>
              <w:widowControl/>
              <w:spacing w:line="300" w:lineRule="exact"/>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43" w:hRule="atLeast"/>
          <w:jc w:val="center"/>
        </w:trPr>
        <w:tc>
          <w:tcPr>
            <w:tcW w:w="1180" w:type="dxa"/>
            <w:vMerge w:val="continue"/>
            <w:vAlign w:val="center"/>
          </w:tcPr>
          <w:p>
            <w:pPr>
              <w:tabs>
                <w:tab w:val="left" w:pos="0"/>
              </w:tabs>
              <w:spacing w:line="300" w:lineRule="exact"/>
              <w:jc w:val="center"/>
              <w:rPr>
                <w:rFonts w:ascii="Times New Roman" w:hAnsi="Times New Roman" w:eastAsia="仿宋_GB2312" w:cs="Times New Roman"/>
                <w:sz w:val="21"/>
                <w:szCs w:val="21"/>
              </w:rPr>
            </w:pPr>
          </w:p>
        </w:tc>
        <w:tc>
          <w:tcPr>
            <w:tcW w:w="1497" w:type="dxa"/>
            <w:vAlign w:val="center"/>
          </w:tcPr>
          <w:p>
            <w:pPr>
              <w:spacing w:line="300" w:lineRule="exact"/>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开放共享</w:t>
            </w:r>
          </w:p>
        </w:tc>
        <w:tc>
          <w:tcPr>
            <w:tcW w:w="5300"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jc w:val="both"/>
              <w:textAlignment w:val="auto"/>
              <w:rPr>
                <w:rFonts w:hint="eastAsia" w:ascii="Times New Roman" w:hAnsi="Times New Roman" w:eastAsia="仿宋_GB2312" w:cs="Times New Roman"/>
                <w:sz w:val="21"/>
                <w:szCs w:val="21"/>
                <w:lang w:eastAsia="zh-CN"/>
              </w:rPr>
            </w:pPr>
            <w:r>
              <w:rPr>
                <w:rFonts w:ascii="Times New Roman" w:hAnsi="Times New Roman" w:eastAsia="仿宋_GB2312" w:cs="Times New Roman"/>
                <w:sz w:val="21"/>
                <w:szCs w:val="21"/>
              </w:rPr>
              <w:t>1</w:t>
            </w:r>
            <w:r>
              <w:rPr>
                <w:rFonts w:hint="eastAsia" w:ascii="Times New Roman" w:hAnsi="Times New Roman" w:eastAsia="仿宋_GB2312" w:cs="Times New Roman"/>
                <w:sz w:val="21"/>
                <w:szCs w:val="21"/>
              </w:rPr>
              <w:t>.与共建单位资源</w:t>
            </w:r>
            <w:r>
              <w:rPr>
                <w:rFonts w:ascii="Times New Roman" w:hAnsi="Times New Roman" w:eastAsia="仿宋_GB2312" w:cs="Times New Roman"/>
                <w:sz w:val="21"/>
                <w:szCs w:val="21"/>
              </w:rPr>
              <w:t>共享及</w:t>
            </w:r>
            <w:r>
              <w:rPr>
                <w:rFonts w:hint="eastAsia" w:ascii="Times New Roman" w:hAnsi="Times New Roman" w:eastAsia="仿宋_GB2312" w:cs="Times New Roman"/>
                <w:sz w:val="21"/>
                <w:szCs w:val="21"/>
              </w:rPr>
              <w:t>协作支持情况（必</w:t>
            </w:r>
            <w:r>
              <w:rPr>
                <w:rFonts w:ascii="Times New Roman" w:hAnsi="Times New Roman" w:eastAsia="仿宋_GB2312" w:cs="Times New Roman"/>
                <w:sz w:val="21"/>
                <w:szCs w:val="21"/>
              </w:rPr>
              <w:t>要时</w:t>
            </w:r>
            <w:r>
              <w:rPr>
                <w:rFonts w:hint="eastAsia" w:ascii="Times New Roman" w:hAnsi="Times New Roman" w:eastAsia="仿宋_GB2312" w:cs="Times New Roman"/>
                <w:sz w:val="21"/>
                <w:szCs w:val="21"/>
              </w:rPr>
              <w:t>可</w:t>
            </w:r>
            <w:r>
              <w:rPr>
                <w:rFonts w:ascii="Times New Roman" w:hAnsi="Times New Roman" w:eastAsia="仿宋_GB2312" w:cs="Times New Roman"/>
                <w:sz w:val="21"/>
                <w:szCs w:val="21"/>
              </w:rPr>
              <w:t>问卷调查）</w:t>
            </w:r>
            <w:r>
              <w:rPr>
                <w:rFonts w:hint="eastAsia" w:ascii="Times New Roman" w:hAnsi="Times New Roman" w:eastAsia="仿宋_GB2312" w:cs="Times New Roman"/>
                <w:sz w:val="21"/>
                <w:szCs w:val="21"/>
                <w:lang w:eastAsia="zh-CN"/>
              </w:rPr>
              <w:t>；</w:t>
            </w:r>
          </w:p>
          <w:p>
            <w:pPr>
              <w:keepNext w:val="0"/>
              <w:keepLines w:val="0"/>
              <w:pageBreakBefore w:val="0"/>
              <w:widowControl/>
              <w:kinsoku/>
              <w:wordWrap/>
              <w:overflowPunct/>
              <w:topLinePunct w:val="0"/>
              <w:autoSpaceDE/>
              <w:autoSpaceDN/>
              <w:bidi w:val="0"/>
              <w:adjustRightInd/>
              <w:snapToGrid/>
              <w:spacing w:before="0" w:beforeLines="0" w:after="0" w:afterLines="0" w:line="300" w:lineRule="exact"/>
              <w:jc w:val="both"/>
              <w:textAlignment w:val="auto"/>
              <w:rPr>
                <w:rFonts w:hint="eastAsia" w:ascii="Times New Roman" w:hAnsi="Times New Roman" w:eastAsia="仿宋_GB2312" w:cs="Times New Roman"/>
                <w:sz w:val="21"/>
                <w:szCs w:val="21"/>
                <w:lang w:eastAsia="zh-CN"/>
              </w:rPr>
            </w:pPr>
            <w:r>
              <w:rPr>
                <w:rFonts w:ascii="Times New Roman" w:hAnsi="Times New Roman" w:eastAsia="仿宋_GB2312" w:cs="Times New Roman"/>
                <w:sz w:val="21"/>
                <w:szCs w:val="21"/>
              </w:rPr>
              <w:t>2</w:t>
            </w:r>
            <w:r>
              <w:rPr>
                <w:rFonts w:hint="eastAsia" w:ascii="Times New Roman" w:hAnsi="Times New Roman" w:eastAsia="仿宋_GB2312" w:cs="Times New Roman"/>
                <w:sz w:val="21"/>
                <w:szCs w:val="21"/>
              </w:rPr>
              <w:t>.与其他行业上</w:t>
            </w:r>
            <w:r>
              <w:rPr>
                <w:rFonts w:ascii="Times New Roman" w:hAnsi="Times New Roman" w:eastAsia="仿宋_GB2312" w:cs="Times New Roman"/>
                <w:sz w:val="21"/>
                <w:szCs w:val="21"/>
              </w:rPr>
              <w:t>下游企业及</w:t>
            </w:r>
            <w:r>
              <w:rPr>
                <w:rFonts w:hint="eastAsia" w:ascii="Times New Roman" w:hAnsi="Times New Roman" w:eastAsia="仿宋_GB2312" w:cs="Times New Roman"/>
                <w:sz w:val="21"/>
                <w:szCs w:val="21"/>
              </w:rPr>
              <w:t>高校院</w:t>
            </w:r>
            <w:r>
              <w:rPr>
                <w:rFonts w:ascii="Times New Roman" w:hAnsi="Times New Roman" w:eastAsia="仿宋_GB2312" w:cs="Times New Roman"/>
                <w:sz w:val="21"/>
                <w:szCs w:val="21"/>
              </w:rPr>
              <w:t>所</w:t>
            </w:r>
            <w:r>
              <w:rPr>
                <w:rFonts w:hint="eastAsia" w:ascii="Times New Roman" w:hAnsi="Times New Roman" w:eastAsia="仿宋_GB2312" w:cs="Times New Roman"/>
                <w:sz w:val="21"/>
                <w:szCs w:val="21"/>
              </w:rPr>
              <w:t>科研单位等的合作情况及</w:t>
            </w:r>
            <w:r>
              <w:rPr>
                <w:rFonts w:ascii="Times New Roman" w:hAnsi="Times New Roman" w:eastAsia="仿宋_GB2312" w:cs="Times New Roman"/>
                <w:sz w:val="21"/>
                <w:szCs w:val="21"/>
              </w:rPr>
              <w:t>发展趋势</w:t>
            </w:r>
            <w:r>
              <w:rPr>
                <w:rFonts w:hint="eastAsia" w:ascii="Times New Roman" w:hAnsi="Times New Roman" w:eastAsia="仿宋_GB2312" w:cs="Times New Roman"/>
                <w:sz w:val="21"/>
                <w:szCs w:val="21"/>
                <w:lang w:eastAsia="zh-CN"/>
              </w:rPr>
              <w:t>；</w:t>
            </w:r>
          </w:p>
          <w:p>
            <w:pPr>
              <w:keepNext w:val="0"/>
              <w:keepLines w:val="0"/>
              <w:pageBreakBefore w:val="0"/>
              <w:widowControl/>
              <w:kinsoku/>
              <w:wordWrap/>
              <w:overflowPunct/>
              <w:topLinePunct w:val="0"/>
              <w:autoSpaceDE/>
              <w:autoSpaceDN/>
              <w:bidi w:val="0"/>
              <w:adjustRightInd/>
              <w:snapToGrid/>
              <w:spacing w:before="0" w:beforeLines="0" w:after="0" w:afterLines="0" w:line="300" w:lineRule="exact"/>
              <w:jc w:val="both"/>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3</w:t>
            </w:r>
            <w:r>
              <w:rPr>
                <w:rFonts w:hint="eastAsia" w:ascii="Times New Roman" w:hAnsi="Times New Roman" w:eastAsia="仿宋_GB2312" w:cs="Times New Roman"/>
                <w:sz w:val="21"/>
                <w:szCs w:val="21"/>
              </w:rPr>
              <w:t>.中心大型科研仪器设备开放共享服务情况。</w:t>
            </w:r>
          </w:p>
        </w:tc>
        <w:tc>
          <w:tcPr>
            <w:tcW w:w="688" w:type="dxa"/>
            <w:vAlign w:val="center"/>
          </w:tcPr>
          <w:p>
            <w:pPr>
              <w:widowControl/>
              <w:spacing w:line="300" w:lineRule="exact"/>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10%</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outlineLvl w:val="9"/>
        <w:rPr>
          <w:rFonts w:hint="eastAsia" w:eastAsia="宋体"/>
          <w:lang w:eastAsia="zh-CN"/>
        </w:rPr>
      </w:pPr>
      <w:bookmarkStart w:id="1" w:name="_GoBack"/>
      <w:bookmarkEnd w:id="1"/>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宋体"/>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CA6643"/>
    <w:rsid w:val="3CCA6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内蒙古科技厅</Company>
  <Pages>1</Pages>
  <Words>0</Words>
  <Characters>0</Characters>
  <Lines>0</Lines>
  <Paragraphs>0</Paragraphs>
  <TotalTime>7</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2024-10-28T08:26:00Z</dcterms:created>
  <dc:creator>王鑫</dc:creator>
  <cp:lastModifiedBy>王鑫</cp:lastModifiedBy>
  <dcterms:modified xsi:type="dcterms:W3CDTF">2024-10-28T08:33:34Z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