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BBF5B">
      <w:pPr>
        <w:ind w:firstLine="640"/>
        <w:rPr>
          <w:rFonts w:cs="仿宋_GB2312"/>
          <w:color w:val="333333"/>
          <w:szCs w:val="32"/>
          <w:shd w:val="clear" w:color="auto" w:fill="FFFFFF"/>
        </w:rPr>
      </w:pPr>
    </w:p>
    <w:p w14:paraId="33E8F088">
      <w:pPr>
        <w:ind w:firstLine="0" w:firstLineChars="0"/>
      </w:pPr>
      <w:r>
        <w:rPr>
          <w:rFonts w:hint="eastAsia" w:eastAsia="黑体"/>
        </w:rPr>
        <w:t>附件</w:t>
      </w:r>
      <w:r>
        <w:rPr>
          <w:rFonts w:hint="eastAsia"/>
        </w:rPr>
        <w:t>1</w:t>
      </w:r>
    </w:p>
    <w:p w14:paraId="0A606F98">
      <w:pPr>
        <w:pStyle w:val="7"/>
        <w:spacing w:before="435" w:after="435"/>
      </w:pPr>
      <w:r>
        <w:rPr>
          <w:rFonts w:hint="eastAsia"/>
        </w:rPr>
        <w:t>中国工程科技发展战略内蒙古研究院</w:t>
      </w:r>
      <w:r>
        <w:br w:type="textWrapping"/>
      </w:r>
      <w:r>
        <w:rPr>
          <w:rFonts w:hint="eastAsia"/>
        </w:rPr>
        <w:t>2025年咨询研究项目申报指南</w:t>
      </w:r>
    </w:p>
    <w:p w14:paraId="30A5DA0F">
      <w:pPr>
        <w:ind w:firstLine="640"/>
        <w:rPr>
          <w:rFonts w:eastAsia="黑体"/>
          <w:bCs/>
          <w:szCs w:val="32"/>
        </w:rPr>
      </w:pPr>
      <w:r>
        <w:rPr>
          <w:rFonts w:hint="eastAsia" w:eastAsia="黑体"/>
          <w:bCs/>
          <w:szCs w:val="32"/>
        </w:rPr>
        <w:t>一、内蒙古土地资源可持续发展战略研究</w:t>
      </w:r>
    </w:p>
    <w:p w14:paraId="65AB41FF">
      <w:pPr>
        <w:ind w:firstLine="640"/>
        <w:rPr>
          <w:bCs/>
          <w:szCs w:val="32"/>
        </w:rPr>
      </w:pPr>
      <w:r>
        <w:rPr>
          <w:rFonts w:hint="eastAsia"/>
          <w:bCs/>
          <w:szCs w:val="32"/>
        </w:rPr>
        <w:t>研究内容：聚焦土地资源的长期健康与高效利用，因地制宜提出土地资源保护的有效措施，提出优化土地利用结构、提升土地利用效率和土地资源可持续利用的对策建议。</w:t>
      </w:r>
    </w:p>
    <w:p w14:paraId="760FB797">
      <w:pPr>
        <w:ind w:firstLine="640"/>
        <w:rPr>
          <w:rFonts w:eastAsia="黑体"/>
          <w:bCs/>
          <w:szCs w:val="32"/>
        </w:rPr>
      </w:pPr>
      <w:r>
        <w:rPr>
          <w:rFonts w:hint="eastAsia" w:eastAsia="黑体"/>
          <w:bCs/>
          <w:szCs w:val="32"/>
        </w:rPr>
        <w:t>二、内蒙古农牧业机械化发展战略研究</w:t>
      </w:r>
    </w:p>
    <w:p w14:paraId="54030188">
      <w:pPr>
        <w:ind w:firstLine="640"/>
        <w:rPr>
          <w:bCs/>
          <w:szCs w:val="32"/>
        </w:rPr>
      </w:pPr>
      <w:r>
        <w:rPr>
          <w:rFonts w:hint="eastAsia"/>
          <w:bCs/>
          <w:szCs w:val="32"/>
        </w:rPr>
        <w:t>研究内容：围绕国家重要农畜产品生产基地建设过程中机械化发展需求，系统谋划中长期内蒙古农牧业机械化发展战略举措、技术路线和实施路径，提出重大装备研制、示范工程和产业化方向的对策建议。</w:t>
      </w:r>
    </w:p>
    <w:p w14:paraId="125EAAFB">
      <w:pPr>
        <w:pStyle w:val="11"/>
        <w:ind w:left="640" w:firstLine="0" w:firstLineChars="0"/>
        <w:rPr>
          <w:rFonts w:eastAsia="黑体"/>
          <w:bCs/>
          <w:szCs w:val="32"/>
        </w:rPr>
      </w:pPr>
      <w:r>
        <w:rPr>
          <w:rFonts w:hint="eastAsia" w:eastAsia="黑体"/>
          <w:bCs/>
          <w:szCs w:val="32"/>
        </w:rPr>
        <w:t>三、内蒙古低空经济发展战略研究</w:t>
      </w:r>
    </w:p>
    <w:p w14:paraId="54D21A3A">
      <w:pPr>
        <w:ind w:firstLine="640"/>
        <w:rPr>
          <w:bCs/>
          <w:szCs w:val="32"/>
        </w:rPr>
      </w:pPr>
      <w:r>
        <w:rPr>
          <w:rFonts w:hint="eastAsia"/>
          <w:bCs/>
          <w:szCs w:val="32"/>
        </w:rPr>
        <w:t>研究内容：结合内蒙古经济社会发展需求，制定科学的低空经济发展规划，提出内蒙古低空经济发展对策，为内蒙古低空经济产业体系的构建提供理论支撑和实践指引。</w:t>
      </w:r>
    </w:p>
    <w:p w14:paraId="1B450202">
      <w:pPr>
        <w:ind w:firstLine="640"/>
        <w:rPr>
          <w:rFonts w:eastAsia="黑体"/>
          <w:bCs/>
          <w:szCs w:val="32"/>
        </w:rPr>
      </w:pPr>
      <w:r>
        <w:rPr>
          <w:rFonts w:hint="eastAsia" w:eastAsia="黑体"/>
          <w:bCs/>
          <w:szCs w:val="32"/>
        </w:rPr>
        <w:t>四、内蒙古工业废水深度处理与高效循环利用战略研究</w:t>
      </w:r>
    </w:p>
    <w:p w14:paraId="416ABF86">
      <w:pPr>
        <w:ind w:firstLine="640"/>
        <w:rPr>
          <w:bCs/>
          <w:szCs w:val="32"/>
        </w:rPr>
      </w:pPr>
      <w:r>
        <w:rPr>
          <w:rFonts w:hint="eastAsia"/>
          <w:bCs/>
          <w:szCs w:val="32"/>
        </w:rPr>
        <w:t>研究内容：围绕工业高盐废水、中水回用和循环用水等客观问题，在研发新材料和新工艺基础上，建立废水循环利用全过程管控体系和风险防控预警体系，提出工业废水深度处理和高效循环利用的实施路径。</w:t>
      </w:r>
    </w:p>
    <w:p w14:paraId="37424562">
      <w:pPr>
        <w:pStyle w:val="11"/>
        <w:ind w:left="640" w:firstLine="0" w:firstLineChars="0"/>
        <w:rPr>
          <w:rFonts w:eastAsia="黑体"/>
          <w:bCs/>
          <w:szCs w:val="32"/>
        </w:rPr>
      </w:pPr>
      <w:r>
        <w:rPr>
          <w:rFonts w:hint="eastAsia" w:eastAsia="黑体"/>
          <w:bCs/>
          <w:szCs w:val="32"/>
        </w:rPr>
        <w:t>五、巴彦淖尔特色农产品发展战略研究</w:t>
      </w:r>
    </w:p>
    <w:p w14:paraId="046C81F1">
      <w:pPr>
        <w:ind w:firstLine="640"/>
        <w:rPr>
          <w:bCs/>
          <w:szCs w:val="32"/>
        </w:rPr>
      </w:pPr>
      <w:r>
        <w:rPr>
          <w:rFonts w:hint="eastAsia"/>
          <w:bCs/>
          <w:szCs w:val="32"/>
        </w:rPr>
        <w:t>研究内容：围绕巴彦淖尔特色农产品发展需求，提出硬质小麦产业发展战略规划与对策建议；提出特色果蔬产业发展战略规划与对策建议。</w:t>
      </w:r>
    </w:p>
    <w:p w14:paraId="51C1BD03">
      <w:pPr>
        <w:ind w:firstLine="640"/>
        <w:rPr>
          <w:rFonts w:eastAsia="黑体"/>
          <w:bCs/>
          <w:szCs w:val="32"/>
        </w:rPr>
      </w:pPr>
      <w:r>
        <w:rPr>
          <w:rFonts w:hint="eastAsia" w:eastAsia="黑体"/>
          <w:bCs/>
          <w:szCs w:val="32"/>
        </w:rPr>
        <w:t>六、内蒙古肉苁蓉特色产业化发展战略研究</w:t>
      </w:r>
    </w:p>
    <w:p w14:paraId="107CFA5A">
      <w:pPr>
        <w:ind w:firstLine="640"/>
        <w:rPr>
          <w:bCs/>
          <w:szCs w:val="32"/>
        </w:rPr>
      </w:pPr>
      <w:r>
        <w:rPr>
          <w:rFonts w:hint="eastAsia"/>
          <w:bCs/>
          <w:szCs w:val="32"/>
        </w:rPr>
        <w:t>研究内容：围绕道地药材肉苁蓉优质品种的选种育种、推广种植、高附加值产品开发，提出打造具有独特品牌形象和推动肉苁蓉特色产业健康发展路径与战略规划。</w:t>
      </w:r>
    </w:p>
    <w:p w14:paraId="259D1581">
      <w:pPr>
        <w:ind w:firstLine="640"/>
        <w:rPr>
          <w:rFonts w:eastAsia="黑体"/>
          <w:bCs/>
          <w:szCs w:val="32"/>
        </w:rPr>
      </w:pPr>
      <w:r>
        <w:rPr>
          <w:rFonts w:hint="eastAsia" w:eastAsia="黑体"/>
          <w:bCs/>
          <w:szCs w:val="32"/>
        </w:rPr>
        <w:t>七、新型生态缓释肥提高土壤有机碳的路径研究</w:t>
      </w:r>
    </w:p>
    <w:p w14:paraId="164EC24B">
      <w:pPr>
        <w:ind w:firstLine="640"/>
        <w:rPr>
          <w:bCs/>
          <w:szCs w:val="32"/>
        </w:rPr>
      </w:pPr>
      <w:r>
        <w:rPr>
          <w:rFonts w:hint="eastAsia"/>
          <w:bCs/>
          <w:szCs w:val="32"/>
        </w:rPr>
        <w:t>研究内容：探究粉煤灰、煤矸石、生物质等工业固废的资源化利用路径，通过先进纳米材料和合成生物技术，开发多功能纳米生态缓释材料，为煤电产业与农业产业协同发展的循环经济模式提出对策和建议。</w:t>
      </w:r>
    </w:p>
    <w:p w14:paraId="66807536">
      <w:pPr>
        <w:ind w:firstLine="640"/>
        <w:rPr>
          <w:rFonts w:eastAsia="黑体"/>
          <w:bCs/>
          <w:szCs w:val="32"/>
        </w:rPr>
      </w:pPr>
      <w:r>
        <w:rPr>
          <w:rFonts w:hint="eastAsia" w:eastAsia="黑体"/>
          <w:bCs/>
          <w:szCs w:val="32"/>
        </w:rPr>
        <w:t>八、内蒙古农牧业绿色发展战略研究</w:t>
      </w:r>
    </w:p>
    <w:p w14:paraId="691D7AC5">
      <w:pPr>
        <w:ind w:firstLine="640"/>
        <w:rPr>
          <w:rFonts w:eastAsia="黑体"/>
          <w:bCs/>
          <w:szCs w:val="32"/>
        </w:rPr>
      </w:pPr>
      <w:r>
        <w:rPr>
          <w:rFonts w:hint="eastAsia"/>
          <w:bCs/>
          <w:szCs w:val="32"/>
        </w:rPr>
        <w:t>研究内容：针对内蒙古农牧业生态优先绿色发展的重大需求，围绕破解内蒙古农业、牧业和农牧交错带协同发展的“卡脖子”问题，提出内蒙古农牧业生态绿色发展的战略路径。</w:t>
      </w:r>
    </w:p>
    <w:p w14:paraId="2AFBD5D2">
      <w:pPr>
        <w:ind w:firstLine="640"/>
        <w:rPr>
          <w:rFonts w:eastAsia="黑体"/>
          <w:bCs/>
          <w:szCs w:val="32"/>
        </w:rPr>
      </w:pPr>
      <w:r>
        <w:rPr>
          <w:rFonts w:hint="eastAsia" w:eastAsia="黑体"/>
          <w:bCs/>
          <w:szCs w:val="32"/>
        </w:rPr>
        <w:t>九、内蒙古稀土产业高质量发展协同创新战略研究</w:t>
      </w:r>
    </w:p>
    <w:p w14:paraId="1A46B59A">
      <w:pPr>
        <w:ind w:firstLine="640"/>
        <w:rPr>
          <w:rFonts w:eastAsia="黑体"/>
          <w:bCs/>
          <w:szCs w:val="32"/>
        </w:rPr>
      </w:pPr>
      <w:r>
        <w:rPr>
          <w:rFonts w:hint="eastAsia"/>
          <w:bCs/>
          <w:szCs w:val="32"/>
        </w:rPr>
        <w:t>研究内容：围绕内蒙古“两个稀土基地”建设，探索科技领军企业与高水平研究型大学、国家科研机构等国家战略科技力量之间的协同创新模式和运行机制，提出具体实施路径。</w:t>
      </w:r>
    </w:p>
    <w:p w14:paraId="25B1A665">
      <w:pPr>
        <w:ind w:firstLine="640"/>
        <w:rPr>
          <w:rFonts w:eastAsia="黑体"/>
          <w:bCs/>
          <w:szCs w:val="32"/>
        </w:rPr>
      </w:pPr>
      <w:r>
        <w:rPr>
          <w:rFonts w:hint="eastAsia" w:eastAsia="黑体"/>
          <w:bCs/>
          <w:szCs w:val="32"/>
        </w:rPr>
        <w:t>十、内蒙古草业高质量发展战略研究</w:t>
      </w:r>
    </w:p>
    <w:p w14:paraId="2B49352D">
      <w:pPr>
        <w:ind w:firstLine="640"/>
        <w:rPr>
          <w:bCs/>
          <w:szCs w:val="32"/>
        </w:rPr>
      </w:pPr>
      <w:r>
        <w:rPr>
          <w:rFonts w:hint="eastAsia"/>
          <w:bCs/>
          <w:szCs w:val="32"/>
        </w:rPr>
        <w:t>研究内容：围绕内蒙古草业高质量发展过程中天然草场修复、人工草地建设与畜牧养殖绿色转型等问题，提出进一步优化草业发展模式与生态经济共赢的对策和建议。</w:t>
      </w:r>
    </w:p>
    <w:p w14:paraId="3289D9F0">
      <w:pPr>
        <w:ind w:firstLine="640"/>
        <w:rPr>
          <w:rFonts w:eastAsia="黑体"/>
          <w:bCs/>
          <w:szCs w:val="32"/>
        </w:rPr>
      </w:pPr>
      <w:r>
        <w:rPr>
          <w:rFonts w:hint="eastAsia" w:eastAsia="黑体"/>
          <w:bCs/>
          <w:szCs w:val="32"/>
        </w:rPr>
        <w:t>十一、内蒙古高标准农田稳产增效信息化战略研究</w:t>
      </w:r>
    </w:p>
    <w:p w14:paraId="6D7A96D0">
      <w:pPr>
        <w:ind w:firstLine="640"/>
        <w:rPr>
          <w:bCs/>
          <w:szCs w:val="32"/>
        </w:rPr>
      </w:pPr>
      <w:r>
        <w:rPr>
          <w:rFonts w:hint="eastAsia"/>
          <w:bCs/>
          <w:szCs w:val="32"/>
        </w:rPr>
        <w:t>研究内容：围绕内蒙古高标准农田建设发展需求，采用现代信息技术，规划全过程、全生命周期“精准-动态-智慧”的信息服务系统建设，为内蒙古高标准农田稳产增效信息化管理提出实现路径。</w:t>
      </w:r>
    </w:p>
    <w:p w14:paraId="12F8A679">
      <w:pPr>
        <w:numPr>
          <w:ilvl w:val="0"/>
          <w:numId w:val="1"/>
        </w:numPr>
        <w:ind w:firstLine="640"/>
        <w:rPr>
          <w:rFonts w:eastAsia="黑体"/>
          <w:bCs/>
          <w:szCs w:val="32"/>
        </w:rPr>
      </w:pPr>
      <w:r>
        <w:rPr>
          <w:rFonts w:hint="eastAsia" w:eastAsia="黑体"/>
          <w:bCs/>
          <w:szCs w:val="32"/>
        </w:rPr>
        <w:t>其他自选题目</w:t>
      </w:r>
    </w:p>
    <w:p w14:paraId="48CB856E">
      <w:pPr>
        <w:ind w:left="0" w:leftChars="0" w:firstLine="0" w:firstLineChars="0"/>
        <w:rPr>
          <w:rFonts w:hint="eastAsia"/>
          <w:sz w:val="10"/>
          <w:szCs w:val="10"/>
        </w:rPr>
      </w:pPr>
      <w:bookmarkStart w:id="0" w:name="_GoBack"/>
      <w:bookmarkEnd w:id="0"/>
    </w:p>
    <w:sectPr>
      <w:headerReference r:id="rId5" w:type="default"/>
      <w:footerReference r:id="rId7" w:type="default"/>
      <w:headerReference r:id="rId6" w:type="even"/>
      <w:footerReference r:id="rId8" w:type="even"/>
      <w:pgSz w:w="11906" w:h="16838"/>
      <w:pgMar w:top="1440" w:right="1800" w:bottom="1440" w:left="1800" w:header="851" w:footer="567" w:gutter="0"/>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602534511"/>
      <w:docPartObj>
        <w:docPartGallery w:val="AutoText"/>
      </w:docPartObj>
    </w:sdtPr>
    <w:sdtEndPr>
      <w:rPr>
        <w:sz w:val="28"/>
        <w:szCs w:val="28"/>
      </w:rPr>
    </w:sdtEndPr>
    <w:sdtContent>
      <w:p w14:paraId="4A280304">
        <w:pPr>
          <w:pStyle w:val="5"/>
          <w:ind w:firstLine="560"/>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283801681"/>
      <w:docPartObj>
        <w:docPartGallery w:val="AutoText"/>
      </w:docPartObj>
    </w:sdtPr>
    <w:sdtEndPr>
      <w:rPr>
        <w:sz w:val="28"/>
        <w:szCs w:val="28"/>
      </w:rPr>
    </w:sdtEndPr>
    <w:sdtContent>
      <w:p w14:paraId="4C4E6E27">
        <w:pPr>
          <w:pStyle w:val="5"/>
          <w:ind w:firstLine="0" w:firstLineChars="0"/>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803DA">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33C4F">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3DF5E"/>
    <w:multiLevelType w:val="singleLevel"/>
    <w:tmpl w:val="AA53DF5E"/>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A36"/>
    <w:rsid w:val="000171F6"/>
    <w:rsid w:val="00027C72"/>
    <w:rsid w:val="00054E60"/>
    <w:rsid w:val="000607F6"/>
    <w:rsid w:val="00062848"/>
    <w:rsid w:val="00064F52"/>
    <w:rsid w:val="000C003E"/>
    <w:rsid w:val="00101481"/>
    <w:rsid w:val="00111A3D"/>
    <w:rsid w:val="0012097E"/>
    <w:rsid w:val="00143474"/>
    <w:rsid w:val="0015088D"/>
    <w:rsid w:val="00152977"/>
    <w:rsid w:val="00153AEE"/>
    <w:rsid w:val="00157DA7"/>
    <w:rsid w:val="001708CC"/>
    <w:rsid w:val="00186B91"/>
    <w:rsid w:val="001871D7"/>
    <w:rsid w:val="001A527D"/>
    <w:rsid w:val="001E6821"/>
    <w:rsid w:val="00237CFC"/>
    <w:rsid w:val="002B4670"/>
    <w:rsid w:val="002C5985"/>
    <w:rsid w:val="002C691E"/>
    <w:rsid w:val="002D0CE7"/>
    <w:rsid w:val="002E3492"/>
    <w:rsid w:val="00302D75"/>
    <w:rsid w:val="00313DB5"/>
    <w:rsid w:val="003B26ED"/>
    <w:rsid w:val="003E3360"/>
    <w:rsid w:val="003E41F3"/>
    <w:rsid w:val="00406557"/>
    <w:rsid w:val="00406D70"/>
    <w:rsid w:val="004266F0"/>
    <w:rsid w:val="004B6DDA"/>
    <w:rsid w:val="004D565A"/>
    <w:rsid w:val="0050480D"/>
    <w:rsid w:val="0054154F"/>
    <w:rsid w:val="005A1A36"/>
    <w:rsid w:val="005A6E4A"/>
    <w:rsid w:val="005A7996"/>
    <w:rsid w:val="00613326"/>
    <w:rsid w:val="00616E31"/>
    <w:rsid w:val="00622C92"/>
    <w:rsid w:val="00640D03"/>
    <w:rsid w:val="00666F84"/>
    <w:rsid w:val="006852F9"/>
    <w:rsid w:val="006A0797"/>
    <w:rsid w:val="006D139C"/>
    <w:rsid w:val="006F65CD"/>
    <w:rsid w:val="0072513B"/>
    <w:rsid w:val="00744B72"/>
    <w:rsid w:val="00760801"/>
    <w:rsid w:val="00767C69"/>
    <w:rsid w:val="007868A4"/>
    <w:rsid w:val="00793F17"/>
    <w:rsid w:val="007F2754"/>
    <w:rsid w:val="007F2C50"/>
    <w:rsid w:val="007F6DA2"/>
    <w:rsid w:val="008257B6"/>
    <w:rsid w:val="008826D1"/>
    <w:rsid w:val="00897A3C"/>
    <w:rsid w:val="008A63A7"/>
    <w:rsid w:val="008B0125"/>
    <w:rsid w:val="008D3687"/>
    <w:rsid w:val="00901A1E"/>
    <w:rsid w:val="009378AE"/>
    <w:rsid w:val="009876B7"/>
    <w:rsid w:val="009958B6"/>
    <w:rsid w:val="009A45A5"/>
    <w:rsid w:val="009C3732"/>
    <w:rsid w:val="009C3C43"/>
    <w:rsid w:val="009D1913"/>
    <w:rsid w:val="00A06712"/>
    <w:rsid w:val="00A2495D"/>
    <w:rsid w:val="00A65322"/>
    <w:rsid w:val="00A74C68"/>
    <w:rsid w:val="00AA6B71"/>
    <w:rsid w:val="00AB6D55"/>
    <w:rsid w:val="00B567DE"/>
    <w:rsid w:val="00B811BA"/>
    <w:rsid w:val="00B92ABC"/>
    <w:rsid w:val="00B94082"/>
    <w:rsid w:val="00BA05A4"/>
    <w:rsid w:val="00BB3B8D"/>
    <w:rsid w:val="00BD2715"/>
    <w:rsid w:val="00BE5F59"/>
    <w:rsid w:val="00BF12DB"/>
    <w:rsid w:val="00C0277F"/>
    <w:rsid w:val="00C17FE4"/>
    <w:rsid w:val="00C30C02"/>
    <w:rsid w:val="00C36181"/>
    <w:rsid w:val="00C50704"/>
    <w:rsid w:val="00C5498B"/>
    <w:rsid w:val="00C80BDA"/>
    <w:rsid w:val="00C82AFD"/>
    <w:rsid w:val="00C85A4C"/>
    <w:rsid w:val="00CB0F9D"/>
    <w:rsid w:val="00CB715D"/>
    <w:rsid w:val="00CC3382"/>
    <w:rsid w:val="00CE42C7"/>
    <w:rsid w:val="00CE4F20"/>
    <w:rsid w:val="00CF0F8E"/>
    <w:rsid w:val="00CF243D"/>
    <w:rsid w:val="00D45A43"/>
    <w:rsid w:val="00D62C10"/>
    <w:rsid w:val="00D95CDA"/>
    <w:rsid w:val="00DB13B9"/>
    <w:rsid w:val="00DB33EA"/>
    <w:rsid w:val="00DC4EFC"/>
    <w:rsid w:val="00DC564F"/>
    <w:rsid w:val="00E71421"/>
    <w:rsid w:val="00E840F4"/>
    <w:rsid w:val="00EA05B7"/>
    <w:rsid w:val="00EB1B7F"/>
    <w:rsid w:val="00F174DF"/>
    <w:rsid w:val="00F80DF5"/>
    <w:rsid w:val="00FC12C0"/>
    <w:rsid w:val="00FF71AD"/>
    <w:rsid w:val="023F0464"/>
    <w:rsid w:val="1018411B"/>
    <w:rsid w:val="186B609E"/>
    <w:rsid w:val="28046B4F"/>
    <w:rsid w:val="2CF1302E"/>
    <w:rsid w:val="2D5060B6"/>
    <w:rsid w:val="3A017816"/>
    <w:rsid w:val="3E2E6503"/>
    <w:rsid w:val="41AC62A5"/>
    <w:rsid w:val="56B57E6A"/>
    <w:rsid w:val="5CFC52D6"/>
    <w:rsid w:val="5F862CC1"/>
    <w:rsid w:val="6AAB1CCD"/>
    <w:rsid w:val="6EC67C3A"/>
    <w:rsid w:val="6F375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3" w:semiHidden="0" w:name="heading 2"/>
    <w:lsdException w:qFormat="1" w:unhideWhenUsed="0" w:uiPriority="4" w:semiHidden="0" w:name="heading 3"/>
    <w:lsdException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00" w:lineRule="exact"/>
      <w:ind w:firstLine="200" w:firstLineChars="200"/>
      <w:jc w:val="both"/>
    </w:pPr>
    <w:rPr>
      <w:rFonts w:ascii="Times New Roman" w:hAnsi="Times New Roman" w:eastAsia="仿宋_GB2312" w:cstheme="minorBidi"/>
      <w:kern w:val="2"/>
      <w:sz w:val="32"/>
      <w:szCs w:val="22"/>
      <w:lang w:val="en-US" w:eastAsia="zh-CN" w:bidi="ar-SA"/>
      <w14:ligatures w14:val="standardContextual"/>
    </w:rPr>
  </w:style>
  <w:style w:type="paragraph" w:styleId="2">
    <w:name w:val="heading 1"/>
    <w:basedOn w:val="1"/>
    <w:next w:val="1"/>
    <w:link w:val="13"/>
    <w:autoRedefine/>
    <w:qFormat/>
    <w:uiPriority w:val="2"/>
    <w:pPr>
      <w:keepNext/>
      <w:keepLines/>
      <w:outlineLvl w:val="0"/>
    </w:pPr>
    <w:rPr>
      <w:rFonts w:eastAsia="黑体"/>
      <w:bCs/>
      <w:kern w:val="44"/>
      <w:szCs w:val="44"/>
    </w:rPr>
  </w:style>
  <w:style w:type="paragraph" w:styleId="3">
    <w:name w:val="heading 2"/>
    <w:basedOn w:val="1"/>
    <w:next w:val="1"/>
    <w:link w:val="14"/>
    <w:autoRedefine/>
    <w:qFormat/>
    <w:uiPriority w:val="3"/>
    <w:pPr>
      <w:keepNext/>
      <w:keepLines/>
      <w:outlineLvl w:val="1"/>
    </w:pPr>
    <w:rPr>
      <w:rFonts w:eastAsia="楷体_GB2312" w:cstheme="majorBidi"/>
      <w:bCs/>
      <w:szCs w:val="32"/>
    </w:rPr>
  </w:style>
  <w:style w:type="paragraph" w:styleId="4">
    <w:name w:val="heading 3"/>
    <w:basedOn w:val="1"/>
    <w:next w:val="1"/>
    <w:link w:val="15"/>
    <w:autoRedefine/>
    <w:qFormat/>
    <w:uiPriority w:val="4"/>
    <w:pPr>
      <w:keepNext/>
      <w:keepLines/>
      <w:outlineLvl w:val="2"/>
    </w:pPr>
    <w:rPr>
      <w:b/>
      <w:bCs/>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tabs>
        <w:tab w:val="center" w:pos="4153"/>
        <w:tab w:val="right" w:pos="8306"/>
      </w:tabs>
      <w:snapToGrid w:val="0"/>
      <w:spacing w:line="240" w:lineRule="atLeast"/>
      <w:jc w:val="center"/>
    </w:pPr>
    <w:rPr>
      <w:sz w:val="18"/>
      <w:szCs w:val="18"/>
    </w:rPr>
  </w:style>
  <w:style w:type="paragraph" w:styleId="7">
    <w:name w:val="Title"/>
    <w:basedOn w:val="1"/>
    <w:next w:val="1"/>
    <w:link w:val="12"/>
    <w:autoRedefine/>
    <w:qFormat/>
    <w:uiPriority w:val="1"/>
    <w:pPr>
      <w:spacing w:before="100" w:beforeLines="100" w:after="100" w:afterLines="100" w:line="640" w:lineRule="exact"/>
      <w:ind w:firstLine="0" w:firstLineChars="0"/>
      <w:jc w:val="center"/>
      <w:outlineLvl w:val="0"/>
    </w:pPr>
    <w:rPr>
      <w:rFonts w:eastAsia="方正小标宋简体" w:cstheme="majorBidi"/>
      <w:bCs/>
      <w:sz w:val="44"/>
      <w:szCs w:val="32"/>
    </w:rPr>
  </w:style>
  <w:style w:type="table" w:styleId="9">
    <w:name w:val="Table Grid"/>
    <w:basedOn w:val="8"/>
    <w:qFormat/>
    <w:uiPriority w:val="39"/>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pPr>
  </w:style>
  <w:style w:type="character" w:customStyle="1" w:styleId="12">
    <w:name w:val="标题 字符"/>
    <w:basedOn w:val="10"/>
    <w:link w:val="7"/>
    <w:qFormat/>
    <w:uiPriority w:val="1"/>
    <w:rPr>
      <w:rFonts w:ascii="Times New Roman" w:hAnsi="Times New Roman" w:eastAsia="方正小标宋简体" w:cstheme="majorBidi"/>
      <w:bCs/>
      <w:kern w:val="2"/>
      <w:sz w:val="44"/>
      <w:szCs w:val="32"/>
      <w14:ligatures w14:val="standardContextual"/>
    </w:rPr>
  </w:style>
  <w:style w:type="character" w:customStyle="1" w:styleId="13">
    <w:name w:val="标题 1 字符"/>
    <w:basedOn w:val="10"/>
    <w:link w:val="2"/>
    <w:qFormat/>
    <w:uiPriority w:val="2"/>
    <w:rPr>
      <w:rFonts w:ascii="Times New Roman" w:hAnsi="Times New Roman" w:eastAsia="黑体"/>
      <w:bCs/>
      <w:kern w:val="44"/>
      <w:sz w:val="32"/>
      <w:szCs w:val="44"/>
      <w14:ligatures w14:val="standardContextual"/>
    </w:rPr>
  </w:style>
  <w:style w:type="character" w:customStyle="1" w:styleId="14">
    <w:name w:val="标题 2 字符"/>
    <w:basedOn w:val="10"/>
    <w:link w:val="3"/>
    <w:qFormat/>
    <w:uiPriority w:val="3"/>
    <w:rPr>
      <w:rFonts w:ascii="Times New Roman" w:hAnsi="Times New Roman" w:eastAsia="楷体_GB2312" w:cstheme="majorBidi"/>
      <w:bCs/>
      <w:kern w:val="2"/>
      <w:sz w:val="32"/>
      <w:szCs w:val="32"/>
      <w14:ligatures w14:val="standardContextual"/>
    </w:rPr>
  </w:style>
  <w:style w:type="character" w:customStyle="1" w:styleId="15">
    <w:name w:val="标题 3 字符"/>
    <w:basedOn w:val="10"/>
    <w:link w:val="4"/>
    <w:qFormat/>
    <w:uiPriority w:val="4"/>
    <w:rPr>
      <w:rFonts w:ascii="Times New Roman" w:hAnsi="Times New Roman" w:eastAsia="仿宋_GB2312"/>
      <w:b/>
      <w:bCs/>
      <w:kern w:val="2"/>
      <w:sz w:val="32"/>
      <w:szCs w:val="32"/>
      <w14:ligatures w14:val="standardContextual"/>
    </w:rPr>
  </w:style>
  <w:style w:type="paragraph" w:customStyle="1" w:styleId="16">
    <w:name w:val="Revision"/>
    <w:hidden/>
    <w:unhideWhenUsed/>
    <w:qFormat/>
    <w:uiPriority w:val="99"/>
    <w:rPr>
      <w:rFonts w:ascii="Times New Roman" w:hAnsi="Times New Roman" w:eastAsia="仿宋_GB2312" w:cstheme="minorBidi"/>
      <w:kern w:val="2"/>
      <w:sz w:val="32"/>
      <w:szCs w:val="22"/>
      <w:lang w:val="en-US" w:eastAsia="zh-CN" w:bidi="ar-SA"/>
      <w14:ligatures w14:val="standardContextual"/>
    </w:rPr>
  </w:style>
  <w:style w:type="character" w:customStyle="1" w:styleId="17">
    <w:name w:val="页脚 字符"/>
    <w:basedOn w:val="10"/>
    <w:link w:val="5"/>
    <w:qFormat/>
    <w:uiPriority w:val="99"/>
    <w:rPr>
      <w:rFonts w:ascii="Times New Roman" w:hAnsi="Times New Roman" w:eastAsia="仿宋_GB2312"/>
      <w:kern w:val="2"/>
      <w:sz w:val="18"/>
      <w:szCs w:val="18"/>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2449</Words>
  <Characters>2523</Characters>
  <Lines>50</Lines>
  <Paragraphs>14</Paragraphs>
  <TotalTime>33</TotalTime>
  <ScaleCrop>false</ScaleCrop>
  <LinksUpToDate>false</LinksUpToDate>
  <CharactersWithSpaces>2536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2025-01-22T01:19:00Z</dcterms:created>
  <dc:creator>战略中心3</dc:creator>
  <cp:lastModifiedBy>wangfu</cp:lastModifiedBy>
  <cp:lastPrinted>2025-01-23T08:18:00Z</cp:lastPrinted>
  <dcterms:modified xsi:type="dcterms:W3CDTF">2025-01-24T07:20:26Z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eyJoZGlkIjoiMGVmYzBjMTFhY2U1ZGM5OTdmYWFlMGRkZWUyMTA3ODkiLCJ1c2VySWQiOiI0NDczOTY4NDIifQ==</vt:lpwstr>
  </property>
  <property fmtid="{D5CDD505-2E9C-101B-9397-08002B2CF9AE}" pid="4" name="ICV">
    <vt:lpwstr>84E8A57F14464933872C8B67F81BAF16_13</vt:lpwstr>
  </property>
</Properties>
</file>