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825A" w14:textId="77777777" w:rsidR="00416954" w:rsidRDefault="00837D04" w:rsidP="00837D04">
      <w:pPr>
        <w:widowControl/>
        <w:shd w:val="clear" w:color="auto" w:fill="FFFFFF"/>
        <w:spacing w:line="570" w:lineRule="atLeast"/>
        <w:jc w:val="center"/>
        <w:outlineLvl w:val="0"/>
        <w:rPr>
          <w:rFonts w:ascii="方正小标宋简体" w:eastAsia="方正小标宋简体" w:hAnsi="宋体" w:cs="Times New Roman"/>
          <w:sz w:val="44"/>
          <w:szCs w:val="44"/>
        </w:rPr>
      </w:pPr>
      <w:r w:rsidRPr="00837D04">
        <w:rPr>
          <w:rFonts w:ascii="方正小标宋简体" w:eastAsia="方正小标宋简体" w:hAnsi="宋体" w:cs="Times New Roman" w:hint="eastAsia"/>
          <w:sz w:val="44"/>
          <w:szCs w:val="44"/>
        </w:rPr>
        <w:t>科技部关于发布国家重点研发计划</w:t>
      </w:r>
    </w:p>
    <w:p w14:paraId="449FF7A7" w14:textId="3A102274" w:rsidR="00837D04" w:rsidRPr="00837D04" w:rsidRDefault="00837D04" w:rsidP="00837D04">
      <w:pPr>
        <w:widowControl/>
        <w:shd w:val="clear" w:color="auto" w:fill="FFFFFF"/>
        <w:spacing w:line="570" w:lineRule="atLeast"/>
        <w:jc w:val="center"/>
        <w:outlineLvl w:val="0"/>
        <w:rPr>
          <w:rFonts w:ascii="方正小标宋简体" w:eastAsia="方正小标宋简体" w:hAnsi="宋体" w:cs="Times New Roman"/>
          <w:sz w:val="44"/>
          <w:szCs w:val="44"/>
        </w:rPr>
      </w:pPr>
      <w:r w:rsidRPr="00837D04">
        <w:rPr>
          <w:rFonts w:ascii="方正小标宋简体" w:eastAsia="方正小标宋简体" w:hAnsi="宋体" w:cs="Times New Roman" w:hint="eastAsia"/>
          <w:sz w:val="44"/>
          <w:szCs w:val="44"/>
        </w:rPr>
        <w:t>“地球观测与导航”等重点专项2022年度项目申报指南的通知</w:t>
      </w:r>
    </w:p>
    <w:p w14:paraId="5AF9DD31" w14:textId="77777777" w:rsidR="00837D04" w:rsidRPr="00837D04" w:rsidRDefault="00837D04" w:rsidP="00837D04">
      <w:pPr>
        <w:spacing w:line="620" w:lineRule="exact"/>
        <w:jc w:val="center"/>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国</w:t>
      </w:r>
      <w:proofErr w:type="gramStart"/>
      <w:r w:rsidRPr="00837D04">
        <w:rPr>
          <w:rFonts w:ascii="仿宋_GB2312" w:eastAsia="仿宋_GB2312" w:hAnsi="仿宋" w:cs="宋体" w:hint="eastAsia"/>
          <w:bCs/>
          <w:color w:val="000000"/>
          <w:kern w:val="0"/>
          <w:sz w:val="32"/>
          <w:szCs w:val="32"/>
        </w:rPr>
        <w:t>科发资〔2022〕</w:t>
      </w:r>
      <w:proofErr w:type="gramEnd"/>
      <w:r w:rsidRPr="00837D04">
        <w:rPr>
          <w:rFonts w:ascii="仿宋_GB2312" w:eastAsia="仿宋_GB2312" w:hAnsi="仿宋" w:cs="宋体" w:hint="eastAsia"/>
          <w:bCs/>
          <w:color w:val="000000"/>
          <w:kern w:val="0"/>
          <w:sz w:val="32"/>
          <w:szCs w:val="32"/>
        </w:rPr>
        <w:t>125号</w:t>
      </w:r>
    </w:p>
    <w:p w14:paraId="3EA77D0A" w14:textId="77777777" w:rsidR="00837D04" w:rsidRPr="00837D04" w:rsidRDefault="00837D04" w:rsidP="00837D04">
      <w:pPr>
        <w:pStyle w:val="a3"/>
        <w:spacing w:before="0" w:beforeAutospacing="0" w:after="0" w:afterAutospacing="0" w:line="312" w:lineRule="atLeast"/>
        <w:rPr>
          <w:rFonts w:ascii="仿宋_GB2312" w:eastAsia="仿宋_GB2312" w:hAnsi="仿宋"/>
          <w:bCs/>
          <w:color w:val="000000"/>
          <w:sz w:val="32"/>
          <w:szCs w:val="32"/>
        </w:rPr>
      </w:pPr>
      <w:r w:rsidRPr="00837D04">
        <w:rPr>
          <w:rFonts w:ascii="仿宋_GB2312" w:eastAsia="仿宋_GB2312" w:hAnsi="仿宋" w:hint="eastAsia"/>
          <w:bCs/>
          <w:color w:val="000000"/>
          <w:sz w:val="32"/>
          <w:szCs w:val="32"/>
        </w:rPr>
        <w:t>各省、自治区、直辖市及计划单列市科技厅（委、局），新疆生产建设兵团科技局，国务院各有关部门，各有关单位：</w:t>
      </w:r>
    </w:p>
    <w:p w14:paraId="3A74B31D"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国家重点研发计划深入贯彻落实党中央关于科技创新的决策部署，坚持“四个面向”总要求，积极探索“揭榜挂帅”等科技管理改革举措，全面提升科研投入绩效。根据《国家重点研发计划管理暂行办法》和组织管理相关要求，现将“地球观测与导航”等重点专项2022年度项目申报指南予以公布，请根据指南要求组织项目申报工作。有关事项通知如下。</w:t>
      </w:r>
    </w:p>
    <w:p w14:paraId="2A082824"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一、项目组织申报工作流程</w:t>
      </w:r>
    </w:p>
    <w:p w14:paraId="15F8C74B" w14:textId="7BA0A403"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1.申报单位根据指南方向的研究内容以项目形式组织申报，项目可下设课题。项目应整体申报，须覆盖相应指南方向的全部考核指标。项目设1名负责人，每个课题设1名负责人，项目负责人可担任其中1个课题的负责人。</w:t>
      </w:r>
    </w:p>
    <w:p w14:paraId="04025666" w14:textId="5CC0F276"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2.整合优势创新团队，并积极吸纳女性科研人员参与项目研发，聚焦指南任务，强化基础研究、共性关键技术研发</w:t>
      </w:r>
      <w:r w:rsidRPr="00837D04">
        <w:rPr>
          <w:rFonts w:ascii="仿宋_GB2312" w:eastAsia="仿宋_GB2312" w:hAnsi="仿宋" w:cs="宋体" w:hint="eastAsia"/>
          <w:bCs/>
          <w:color w:val="000000"/>
          <w:kern w:val="0"/>
          <w:sz w:val="32"/>
          <w:szCs w:val="32"/>
        </w:rPr>
        <w:lastRenderedPageBreak/>
        <w:t>和典型应用示范各项任务间的统筹衔接，集中力量，联合攻关。鼓励有能力的女性科研人员作为项目（课题）负责人领衔担纲承担任务。</w:t>
      </w:r>
    </w:p>
    <w:p w14:paraId="68B94BD6" w14:textId="71227DF1"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3.国家重点研发计划项目申报过程分为预申报、正式申报两个环节，具体工作流程如下。</w:t>
      </w:r>
    </w:p>
    <w:p w14:paraId="279F4735" w14:textId="2797C2F6"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填写预申报书。项目申报单位根据指南相关申报要求，通过国家科技管理信息系统公共服务平台（http：//service.most.gov.cn，以下简称“国科管系统”）填写并提交3000字左右的项目预申报书，详细说明申报项目的目标和指标，简要说明创新思路、技术路线和研究基础。从指南发布</w:t>
      </w:r>
      <w:proofErr w:type="gramStart"/>
      <w:r w:rsidRPr="00837D04">
        <w:rPr>
          <w:rFonts w:ascii="仿宋_GB2312" w:eastAsia="仿宋_GB2312" w:hAnsi="仿宋" w:cs="宋体" w:hint="eastAsia"/>
          <w:bCs/>
          <w:color w:val="000000"/>
          <w:kern w:val="0"/>
          <w:sz w:val="32"/>
          <w:szCs w:val="32"/>
        </w:rPr>
        <w:t>日到预申报</w:t>
      </w:r>
      <w:proofErr w:type="gramEnd"/>
      <w:r w:rsidRPr="00837D04">
        <w:rPr>
          <w:rFonts w:ascii="仿宋_GB2312" w:eastAsia="仿宋_GB2312" w:hAnsi="仿宋" w:cs="宋体" w:hint="eastAsia"/>
          <w:bCs/>
          <w:color w:val="000000"/>
          <w:kern w:val="0"/>
          <w:sz w:val="32"/>
          <w:szCs w:val="32"/>
        </w:rPr>
        <w:t>书受理截止日不少于50天。</w:t>
      </w:r>
    </w:p>
    <w:p w14:paraId="247B7666"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预申报书应包括相关协议和承诺。项目牵头申报单位应与所有参与单位签署联合申报协议，并明确协议签署时间；项目牵头申报单位、课题申报单位、项目负责人及课题负责人</w:t>
      </w:r>
      <w:proofErr w:type="gramStart"/>
      <w:r w:rsidRPr="00837D04">
        <w:rPr>
          <w:rFonts w:ascii="仿宋_GB2312" w:eastAsia="仿宋_GB2312" w:hAnsi="仿宋" w:cs="宋体" w:hint="eastAsia"/>
          <w:bCs/>
          <w:color w:val="000000"/>
          <w:kern w:val="0"/>
          <w:sz w:val="32"/>
          <w:szCs w:val="32"/>
        </w:rPr>
        <w:t>须签署诚信</w:t>
      </w:r>
      <w:proofErr w:type="gramEnd"/>
      <w:r w:rsidRPr="00837D04">
        <w:rPr>
          <w:rFonts w:ascii="仿宋_GB2312" w:eastAsia="仿宋_GB2312" w:hAnsi="仿宋" w:cs="宋体" w:hint="eastAsia"/>
          <w:bCs/>
          <w:color w:val="000000"/>
          <w:kern w:val="0"/>
          <w:sz w:val="32"/>
          <w:szCs w:val="32"/>
        </w:rPr>
        <w:t>承诺书，项目牵头申报单位及所有参与单位要落实《关于进一步加强科研诚信建设的若干意见》《关于进一步弘扬科学家精神加强作风和学风建设的意见》等要求，加强对申报材料审核把关，杜绝夸大不实，甚至弄虚作假。</w:t>
      </w:r>
    </w:p>
    <w:p w14:paraId="2F79FF19"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预申报书须经相关单位推荐。各推荐单位加强对所推荐的项目申报材料审核把关，按时将推荐项目通过国科管系统统一报送。</w:t>
      </w:r>
    </w:p>
    <w:p w14:paraId="763C25F7"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lastRenderedPageBreak/>
        <w:t>专业机构受理预申报书并组织首轮评审。为确保合理的竞争度，对于非定向申报的单个指南方向，若申报团队数量不多于</w:t>
      </w:r>
      <w:proofErr w:type="gramStart"/>
      <w:r w:rsidRPr="00837D04">
        <w:rPr>
          <w:rFonts w:ascii="仿宋_GB2312" w:eastAsia="仿宋_GB2312" w:hAnsi="仿宋" w:cs="宋体" w:hint="eastAsia"/>
          <w:bCs/>
          <w:color w:val="000000"/>
          <w:kern w:val="0"/>
          <w:sz w:val="32"/>
          <w:szCs w:val="32"/>
        </w:rPr>
        <w:t>拟支持</w:t>
      </w:r>
      <w:proofErr w:type="gramEnd"/>
      <w:r w:rsidRPr="00837D04">
        <w:rPr>
          <w:rFonts w:ascii="仿宋_GB2312" w:eastAsia="仿宋_GB2312" w:hAnsi="仿宋" w:cs="宋体" w:hint="eastAsia"/>
          <w:bCs/>
          <w:color w:val="000000"/>
          <w:kern w:val="0"/>
          <w:sz w:val="32"/>
          <w:szCs w:val="32"/>
        </w:rPr>
        <w:t>的项目数量，该指南方向不启动后续项目评审立项程序，择期重新研究发布指南。专业机构组织形式审查，并根据申报情况开展首轮评审工作。首轮评审不需要项目负责人进行答辩。根据专家的评审结果，遴选出3~</w:t>
      </w:r>
      <w:proofErr w:type="gramStart"/>
      <w:r w:rsidRPr="00837D04">
        <w:rPr>
          <w:rFonts w:ascii="仿宋_GB2312" w:eastAsia="仿宋_GB2312" w:hAnsi="仿宋" w:cs="宋体" w:hint="eastAsia"/>
          <w:bCs/>
          <w:color w:val="000000"/>
          <w:kern w:val="0"/>
          <w:sz w:val="32"/>
          <w:szCs w:val="32"/>
        </w:rPr>
        <w:t>4倍于拟立项</w:t>
      </w:r>
      <w:proofErr w:type="gramEnd"/>
      <w:r w:rsidRPr="00837D04">
        <w:rPr>
          <w:rFonts w:ascii="仿宋_GB2312" w:eastAsia="仿宋_GB2312" w:hAnsi="仿宋" w:cs="宋体" w:hint="eastAsia"/>
          <w:bCs/>
          <w:color w:val="000000"/>
          <w:kern w:val="0"/>
          <w:sz w:val="32"/>
          <w:szCs w:val="32"/>
        </w:rPr>
        <w:t>数量的申报项目，进入答辩评审。对于未进入答辩评审的申报项目，及时将评审结果反馈项目申报单位和负责人。</w:t>
      </w:r>
    </w:p>
    <w:p w14:paraId="7C89644C" w14:textId="359A8FE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填写正式申报书。对于通过首轮评审和直接进入答辩评审的项目申请，通过国科管系统填写并提交项目正式申报书，正式申报书受理时间为30天。</w:t>
      </w:r>
    </w:p>
    <w:p w14:paraId="3DD9A348" w14:textId="77777777" w:rsidR="00837D04" w:rsidRPr="00837D04" w:rsidRDefault="00837D04" w:rsidP="00837D0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专业机构受理正式申报书并组织答辩评审。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关键节点考核评估，根据评估结果确定后续支持方式。</w:t>
      </w:r>
    </w:p>
    <w:p w14:paraId="6159DBBE"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二、组织申报的推荐单位</w:t>
      </w:r>
    </w:p>
    <w:p w14:paraId="4F4FF904" w14:textId="058F6C42"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1.国务院有关部门科技主管司局；</w:t>
      </w:r>
    </w:p>
    <w:p w14:paraId="4A10E4FF" w14:textId="6A38E38F"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lastRenderedPageBreak/>
        <w:t>2.各省、自治区、直辖市、计划单列市及新疆生产建设兵团科技主管部门；</w:t>
      </w:r>
    </w:p>
    <w:p w14:paraId="052DDC9D" w14:textId="237EDF02"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3.原工业部门转制成立的行业协会；</w:t>
      </w:r>
    </w:p>
    <w:p w14:paraId="4B751B92" w14:textId="553E2572"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4.纳入科技</w:t>
      </w:r>
      <w:proofErr w:type="gramStart"/>
      <w:r w:rsidRPr="00837D04">
        <w:rPr>
          <w:rFonts w:ascii="仿宋_GB2312" w:eastAsia="仿宋_GB2312" w:hAnsi="仿宋" w:cs="宋体" w:hint="eastAsia"/>
          <w:bCs/>
          <w:color w:val="000000"/>
          <w:kern w:val="0"/>
          <w:sz w:val="32"/>
          <w:szCs w:val="32"/>
        </w:rPr>
        <w:t>部试点</w:t>
      </w:r>
      <w:proofErr w:type="gramEnd"/>
      <w:r w:rsidRPr="00837D04">
        <w:rPr>
          <w:rFonts w:ascii="仿宋_GB2312" w:eastAsia="仿宋_GB2312" w:hAnsi="仿宋" w:cs="宋体" w:hint="eastAsia"/>
          <w:bCs/>
          <w:color w:val="000000"/>
          <w:kern w:val="0"/>
          <w:sz w:val="32"/>
          <w:szCs w:val="32"/>
        </w:rPr>
        <w:t>范围并且评估结果为A类的产业技术创新战略联盟，以及纳入科技部、财政部开展的科技服务业创新发展行业试点联盟。</w:t>
      </w:r>
    </w:p>
    <w:p w14:paraId="66AF9424"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各推荐单位应在本单位职能和业务范围内推荐，并对所推荐项目的真实性等负责。推荐单位名单在国科管系统上公开发布。</w:t>
      </w:r>
    </w:p>
    <w:p w14:paraId="78D31CB0"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三、申报资格要求</w:t>
      </w:r>
    </w:p>
    <w:p w14:paraId="5600968E" w14:textId="4C2F5876"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1.项目牵头申报单位和参与单位应为中国大陆境内注册的科研院所、高等学校和企业等，具有独立法人资格，注册时间为2021年6月30日前，有较强的科技研发能力和条件，运行管理规范。国家机关不得牵头或参与申报。</w:t>
      </w:r>
    </w:p>
    <w:p w14:paraId="6F9CA0EC" w14:textId="00EF3E99"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项目牵头申报单位、参与单位以及团队成员诚信状况良好，无在惩戒执行期内的科研严重失信行为记录和相关社会领域信用“黑名单”记录。</w:t>
      </w:r>
    </w:p>
    <w:p w14:paraId="66D667AE"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申报单位同一个项目只能通过单个推荐单位申报，不得多头申报和重复申报。</w:t>
      </w:r>
    </w:p>
    <w:p w14:paraId="4A54786B" w14:textId="4F617CBC"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2.项目（课题）负责人须具有高级职称或博士学位，1962年1月1日以后出生，每年用于项目的工作时间不得少于6个月。</w:t>
      </w:r>
    </w:p>
    <w:p w14:paraId="259C8487" w14:textId="69FB184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lastRenderedPageBreak/>
        <w:t>3.项目（课题）负责人原则上应为该项目（课题）主体研究思路的提出者和实际主持研究的科技人员。中央和地方各级国家机关的公务人员（包括行使科技计划管理职能的其他人员）不得申报项目（课题）。</w:t>
      </w:r>
    </w:p>
    <w:p w14:paraId="0094F8DA" w14:textId="60DF4FC8"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4.项目（课题）负责人限申报1个项目（课题）；国家科技重大专项、国家重点研发计划、科技创新2030</w:t>
      </w:r>
      <w:proofErr w:type="gramStart"/>
      <w:r w:rsidRPr="00837D04">
        <w:rPr>
          <w:rFonts w:ascii="仿宋_GB2312" w:eastAsia="仿宋_GB2312" w:hAnsi="仿宋" w:cs="宋体" w:hint="eastAsia"/>
          <w:bCs/>
          <w:color w:val="000000"/>
          <w:kern w:val="0"/>
          <w:sz w:val="32"/>
          <w:szCs w:val="32"/>
        </w:rPr>
        <w:t>—重大</w:t>
      </w:r>
      <w:proofErr w:type="gramEnd"/>
      <w:r w:rsidRPr="00837D04">
        <w:rPr>
          <w:rFonts w:ascii="仿宋_GB2312" w:eastAsia="仿宋_GB2312" w:hAnsi="仿宋" w:cs="宋体" w:hint="eastAsia"/>
          <w:bCs/>
          <w:color w:val="000000"/>
          <w:kern w:val="0"/>
          <w:sz w:val="32"/>
          <w:szCs w:val="32"/>
        </w:rPr>
        <w:t>项目的在</w:t>
      </w:r>
      <w:proofErr w:type="gramStart"/>
      <w:r w:rsidRPr="00837D04">
        <w:rPr>
          <w:rFonts w:ascii="仿宋_GB2312" w:eastAsia="仿宋_GB2312" w:hAnsi="仿宋" w:cs="宋体" w:hint="eastAsia"/>
          <w:bCs/>
          <w:color w:val="000000"/>
          <w:kern w:val="0"/>
          <w:sz w:val="32"/>
          <w:szCs w:val="32"/>
        </w:rPr>
        <w:t>研</w:t>
      </w:r>
      <w:proofErr w:type="gramEnd"/>
      <w:r w:rsidRPr="00837D04">
        <w:rPr>
          <w:rFonts w:ascii="仿宋_GB2312" w:eastAsia="仿宋_GB2312" w:hAnsi="仿宋" w:cs="宋体" w:hint="eastAsia"/>
          <w:bCs/>
          <w:color w:val="000000"/>
          <w:kern w:val="0"/>
          <w:sz w:val="32"/>
          <w:szCs w:val="32"/>
        </w:rPr>
        <w:t>项目负责人不得牵头或参与申报项目（课题），课题负责人可参与申报项目（课题）。</w:t>
      </w:r>
    </w:p>
    <w:p w14:paraId="6E1B7372"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项目（课题）负责人、项目骨干的申报项目（课题）和国家科技重大专项、国家重点研发计划、科技创新2030</w:t>
      </w:r>
      <w:proofErr w:type="gramStart"/>
      <w:r w:rsidRPr="00837D04">
        <w:rPr>
          <w:rFonts w:ascii="仿宋_GB2312" w:eastAsia="仿宋_GB2312" w:hAnsi="仿宋" w:cs="宋体" w:hint="eastAsia"/>
          <w:bCs/>
          <w:color w:val="000000"/>
          <w:kern w:val="0"/>
          <w:sz w:val="32"/>
          <w:szCs w:val="32"/>
        </w:rPr>
        <w:t>—重大</w:t>
      </w:r>
      <w:proofErr w:type="gramEnd"/>
      <w:r w:rsidRPr="00837D04">
        <w:rPr>
          <w:rFonts w:ascii="仿宋_GB2312" w:eastAsia="仿宋_GB2312" w:hAnsi="仿宋" w:cs="宋体" w:hint="eastAsia"/>
          <w:bCs/>
          <w:color w:val="000000"/>
          <w:kern w:val="0"/>
          <w:sz w:val="32"/>
          <w:szCs w:val="32"/>
        </w:rPr>
        <w:t>项目在</w:t>
      </w:r>
      <w:proofErr w:type="gramStart"/>
      <w:r w:rsidRPr="00837D04">
        <w:rPr>
          <w:rFonts w:ascii="仿宋_GB2312" w:eastAsia="仿宋_GB2312" w:hAnsi="仿宋" w:cs="宋体" w:hint="eastAsia"/>
          <w:bCs/>
          <w:color w:val="000000"/>
          <w:kern w:val="0"/>
          <w:sz w:val="32"/>
          <w:szCs w:val="32"/>
        </w:rPr>
        <w:t>研</w:t>
      </w:r>
      <w:proofErr w:type="gramEnd"/>
      <w:r w:rsidRPr="00837D04">
        <w:rPr>
          <w:rFonts w:ascii="仿宋_GB2312" w:eastAsia="仿宋_GB2312" w:hAnsi="仿宋" w:cs="宋体" w:hint="eastAsia"/>
          <w:bCs/>
          <w:color w:val="000000"/>
          <w:kern w:val="0"/>
          <w:sz w:val="32"/>
          <w:szCs w:val="32"/>
        </w:rPr>
        <w:t>项目（课题）总数不得超过2个。国家科技重大专项、国家重点研发计划、科技创新2030</w:t>
      </w:r>
      <w:proofErr w:type="gramStart"/>
      <w:r w:rsidRPr="00837D04">
        <w:rPr>
          <w:rFonts w:ascii="仿宋_GB2312" w:eastAsia="仿宋_GB2312" w:hAnsi="仿宋" w:cs="宋体" w:hint="eastAsia"/>
          <w:bCs/>
          <w:color w:val="000000"/>
          <w:kern w:val="0"/>
          <w:sz w:val="32"/>
          <w:szCs w:val="32"/>
        </w:rPr>
        <w:t>—重大</w:t>
      </w:r>
      <w:proofErr w:type="gramEnd"/>
      <w:r w:rsidRPr="00837D04">
        <w:rPr>
          <w:rFonts w:ascii="仿宋_GB2312" w:eastAsia="仿宋_GB2312" w:hAnsi="仿宋" w:cs="宋体" w:hint="eastAsia"/>
          <w:bCs/>
          <w:color w:val="000000"/>
          <w:kern w:val="0"/>
          <w:sz w:val="32"/>
          <w:szCs w:val="32"/>
        </w:rPr>
        <w:t>项目的在</w:t>
      </w:r>
      <w:proofErr w:type="gramStart"/>
      <w:r w:rsidRPr="00837D04">
        <w:rPr>
          <w:rFonts w:ascii="仿宋_GB2312" w:eastAsia="仿宋_GB2312" w:hAnsi="仿宋" w:cs="宋体" w:hint="eastAsia"/>
          <w:bCs/>
          <w:color w:val="000000"/>
          <w:kern w:val="0"/>
          <w:sz w:val="32"/>
          <w:szCs w:val="32"/>
        </w:rPr>
        <w:t>研</w:t>
      </w:r>
      <w:proofErr w:type="gramEnd"/>
      <w:r w:rsidRPr="00837D04">
        <w:rPr>
          <w:rFonts w:ascii="仿宋_GB2312" w:eastAsia="仿宋_GB2312" w:hAnsi="仿宋" w:cs="宋体" w:hint="eastAsia"/>
          <w:bCs/>
          <w:color w:val="000000"/>
          <w:kern w:val="0"/>
          <w:sz w:val="32"/>
          <w:szCs w:val="32"/>
        </w:rPr>
        <w:t>项目（课题）负责人和项目骨干不得因申报新项目而退出在</w:t>
      </w:r>
      <w:proofErr w:type="gramStart"/>
      <w:r w:rsidRPr="00837D04">
        <w:rPr>
          <w:rFonts w:ascii="仿宋_GB2312" w:eastAsia="仿宋_GB2312" w:hAnsi="仿宋" w:cs="宋体" w:hint="eastAsia"/>
          <w:bCs/>
          <w:color w:val="000000"/>
          <w:kern w:val="0"/>
          <w:sz w:val="32"/>
          <w:szCs w:val="32"/>
        </w:rPr>
        <w:t>研</w:t>
      </w:r>
      <w:proofErr w:type="gramEnd"/>
      <w:r w:rsidRPr="00837D04">
        <w:rPr>
          <w:rFonts w:ascii="仿宋_GB2312" w:eastAsia="仿宋_GB2312" w:hAnsi="仿宋" w:cs="宋体" w:hint="eastAsia"/>
          <w:bCs/>
          <w:color w:val="000000"/>
          <w:kern w:val="0"/>
          <w:sz w:val="32"/>
          <w:szCs w:val="32"/>
        </w:rPr>
        <w:t>项目；退出项目研发团队后，在原项目执行期内原则上不得牵头或参与申报新的国家重点研发计划项目。</w:t>
      </w:r>
    </w:p>
    <w:p w14:paraId="2E28DBB8"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项目任务</w:t>
      </w:r>
      <w:proofErr w:type="gramStart"/>
      <w:r w:rsidRPr="00837D04">
        <w:rPr>
          <w:rFonts w:ascii="仿宋_GB2312" w:eastAsia="仿宋_GB2312" w:hAnsi="仿宋" w:cs="宋体" w:hint="eastAsia"/>
          <w:bCs/>
          <w:color w:val="000000"/>
          <w:kern w:val="0"/>
          <w:sz w:val="32"/>
          <w:szCs w:val="32"/>
        </w:rPr>
        <w:t>书执行</w:t>
      </w:r>
      <w:proofErr w:type="gramEnd"/>
      <w:r w:rsidRPr="00837D04">
        <w:rPr>
          <w:rFonts w:ascii="仿宋_GB2312" w:eastAsia="仿宋_GB2312" w:hAnsi="仿宋" w:cs="宋体" w:hint="eastAsia"/>
          <w:bCs/>
          <w:color w:val="000000"/>
          <w:kern w:val="0"/>
          <w:sz w:val="32"/>
          <w:szCs w:val="32"/>
        </w:rPr>
        <w:t>期（包括延期后的执行期）到2022年12月31日之前的在</w:t>
      </w:r>
      <w:proofErr w:type="gramStart"/>
      <w:r w:rsidRPr="00837D04">
        <w:rPr>
          <w:rFonts w:ascii="仿宋_GB2312" w:eastAsia="仿宋_GB2312" w:hAnsi="仿宋" w:cs="宋体" w:hint="eastAsia"/>
          <w:bCs/>
          <w:color w:val="000000"/>
          <w:kern w:val="0"/>
          <w:sz w:val="32"/>
          <w:szCs w:val="32"/>
        </w:rPr>
        <w:t>研</w:t>
      </w:r>
      <w:proofErr w:type="gramEnd"/>
      <w:r w:rsidRPr="00837D04">
        <w:rPr>
          <w:rFonts w:ascii="仿宋_GB2312" w:eastAsia="仿宋_GB2312" w:hAnsi="仿宋" w:cs="宋体" w:hint="eastAsia"/>
          <w:bCs/>
          <w:color w:val="000000"/>
          <w:kern w:val="0"/>
          <w:sz w:val="32"/>
          <w:szCs w:val="32"/>
        </w:rPr>
        <w:t>项目（</w:t>
      </w:r>
      <w:proofErr w:type="gramStart"/>
      <w:r w:rsidRPr="00837D04">
        <w:rPr>
          <w:rFonts w:ascii="仿宋_GB2312" w:eastAsia="仿宋_GB2312" w:hAnsi="仿宋" w:cs="宋体" w:hint="eastAsia"/>
          <w:bCs/>
          <w:color w:val="000000"/>
          <w:kern w:val="0"/>
          <w:sz w:val="32"/>
          <w:szCs w:val="32"/>
        </w:rPr>
        <w:t>含任务</w:t>
      </w:r>
      <w:proofErr w:type="gramEnd"/>
      <w:r w:rsidRPr="00837D04">
        <w:rPr>
          <w:rFonts w:ascii="仿宋_GB2312" w:eastAsia="仿宋_GB2312" w:hAnsi="仿宋" w:cs="宋体" w:hint="eastAsia"/>
          <w:bCs/>
          <w:color w:val="000000"/>
          <w:kern w:val="0"/>
          <w:sz w:val="32"/>
          <w:szCs w:val="32"/>
        </w:rPr>
        <w:t>或课题）不在限项范围内。</w:t>
      </w:r>
    </w:p>
    <w:p w14:paraId="7081F83C" w14:textId="72048C63"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5.参与重点专项实施方案或本年度项目指南编制的专家，原则上不能申报该重点专项项目（课题）。</w:t>
      </w:r>
    </w:p>
    <w:p w14:paraId="451D0032" w14:textId="338A9EE9"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6.受聘于内地单位的外籍科学家及港澳台地区科学家可作为项目（课题）负责人，全职受聘人员须由内地聘用单</w:t>
      </w:r>
      <w:r w:rsidRPr="00837D04">
        <w:rPr>
          <w:rFonts w:ascii="仿宋_GB2312" w:eastAsia="仿宋_GB2312" w:hAnsi="仿宋" w:cs="宋体" w:hint="eastAsia"/>
          <w:bCs/>
          <w:color w:val="000000"/>
          <w:kern w:val="0"/>
          <w:sz w:val="32"/>
          <w:szCs w:val="32"/>
        </w:rPr>
        <w:lastRenderedPageBreak/>
        <w:t>位提供全职聘用的有效材料，非全职受聘人员须由双方单位同时提供聘用的有效材料，并作为项目预申报材料一并提交。</w:t>
      </w:r>
    </w:p>
    <w:p w14:paraId="049D554F" w14:textId="67FF2EAD"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7.申报项目受理后，原则上不能更改申报单位和负责人。</w:t>
      </w:r>
    </w:p>
    <w:p w14:paraId="22DE74B1" w14:textId="43AEA17A"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8.项目具体申报要求详见各申报指南，有特殊规定的，从其规定。</w:t>
      </w:r>
    </w:p>
    <w:p w14:paraId="4B2F7E98"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各申报单位在正式提交项目申报书前可利用国科管系统查询相关科研人员承担国家科技重大专项、国家重点研发计划重点专项、科技创新2030</w:t>
      </w:r>
      <w:proofErr w:type="gramStart"/>
      <w:r w:rsidRPr="00837D04">
        <w:rPr>
          <w:rFonts w:ascii="仿宋_GB2312" w:eastAsia="仿宋_GB2312" w:hAnsi="仿宋" w:cs="宋体" w:hint="eastAsia"/>
          <w:bCs/>
          <w:color w:val="000000"/>
          <w:kern w:val="0"/>
          <w:sz w:val="32"/>
          <w:szCs w:val="32"/>
        </w:rPr>
        <w:t>—重大</w:t>
      </w:r>
      <w:proofErr w:type="gramEnd"/>
      <w:r w:rsidRPr="00837D04">
        <w:rPr>
          <w:rFonts w:ascii="仿宋_GB2312" w:eastAsia="仿宋_GB2312" w:hAnsi="仿宋" w:cs="宋体" w:hint="eastAsia"/>
          <w:bCs/>
          <w:color w:val="000000"/>
          <w:kern w:val="0"/>
          <w:sz w:val="32"/>
          <w:szCs w:val="32"/>
        </w:rPr>
        <w:t>项目在</w:t>
      </w:r>
      <w:proofErr w:type="gramStart"/>
      <w:r w:rsidRPr="00837D04">
        <w:rPr>
          <w:rFonts w:ascii="仿宋_GB2312" w:eastAsia="仿宋_GB2312" w:hAnsi="仿宋" w:cs="宋体" w:hint="eastAsia"/>
          <w:bCs/>
          <w:color w:val="000000"/>
          <w:kern w:val="0"/>
          <w:sz w:val="32"/>
          <w:szCs w:val="32"/>
        </w:rPr>
        <w:t>研</w:t>
      </w:r>
      <w:proofErr w:type="gramEnd"/>
      <w:r w:rsidRPr="00837D04">
        <w:rPr>
          <w:rFonts w:ascii="仿宋_GB2312" w:eastAsia="仿宋_GB2312" w:hAnsi="仿宋" w:cs="宋体" w:hint="eastAsia"/>
          <w:bCs/>
          <w:color w:val="000000"/>
          <w:kern w:val="0"/>
          <w:sz w:val="32"/>
          <w:szCs w:val="32"/>
        </w:rPr>
        <w:t>项目（</w:t>
      </w:r>
      <w:proofErr w:type="gramStart"/>
      <w:r w:rsidRPr="00837D04">
        <w:rPr>
          <w:rFonts w:ascii="仿宋_GB2312" w:eastAsia="仿宋_GB2312" w:hAnsi="仿宋" w:cs="宋体" w:hint="eastAsia"/>
          <w:bCs/>
          <w:color w:val="000000"/>
          <w:kern w:val="0"/>
          <w:sz w:val="32"/>
          <w:szCs w:val="32"/>
        </w:rPr>
        <w:t>含任务</w:t>
      </w:r>
      <w:proofErr w:type="gramEnd"/>
      <w:r w:rsidRPr="00837D04">
        <w:rPr>
          <w:rFonts w:ascii="仿宋_GB2312" w:eastAsia="仿宋_GB2312" w:hAnsi="仿宋" w:cs="宋体" w:hint="eastAsia"/>
          <w:bCs/>
          <w:color w:val="000000"/>
          <w:kern w:val="0"/>
          <w:sz w:val="32"/>
          <w:szCs w:val="32"/>
        </w:rPr>
        <w:t>或课题）情况，避免重复申报。</w:t>
      </w:r>
    </w:p>
    <w:p w14:paraId="78187451"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四、项目管理改革举措</w:t>
      </w:r>
    </w:p>
    <w:p w14:paraId="5D33453B"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关于青年科学家项目。为给青年科研人员创造更多机会组织实施国家目标导向的重大研发任务，重点研发计划设立青年科学家项目。根据领域和专项特点，采取专设青年科学家项目或项目下专设青年科学家课题等多种方式。青年科学家项目</w:t>
      </w:r>
      <w:proofErr w:type="gramStart"/>
      <w:r w:rsidRPr="00837D04">
        <w:rPr>
          <w:rFonts w:ascii="仿宋_GB2312" w:eastAsia="仿宋_GB2312" w:hAnsi="仿宋" w:cs="宋体" w:hint="eastAsia"/>
          <w:bCs/>
          <w:color w:val="000000"/>
          <w:kern w:val="0"/>
          <w:sz w:val="32"/>
          <w:szCs w:val="32"/>
        </w:rPr>
        <w:t>不</w:t>
      </w:r>
      <w:proofErr w:type="gramEnd"/>
      <w:r w:rsidRPr="00837D04">
        <w:rPr>
          <w:rFonts w:ascii="仿宋_GB2312" w:eastAsia="仿宋_GB2312" w:hAnsi="仿宋" w:cs="宋体" w:hint="eastAsia"/>
          <w:bCs/>
          <w:color w:val="000000"/>
          <w:kern w:val="0"/>
          <w:sz w:val="32"/>
          <w:szCs w:val="32"/>
        </w:rPr>
        <w:t>下设课题，原则上不再组织预算评估，鼓励青年科学家大胆探索更具创新性和颠覆性的新方法、新路径，更好服务于专项总体目标的实现。</w:t>
      </w:r>
    </w:p>
    <w:p w14:paraId="12F3C160"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五、具体申报方式</w:t>
      </w:r>
    </w:p>
    <w:p w14:paraId="2C4E4AA8" w14:textId="1D759E1D"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1.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w:t>
      </w:r>
      <w:r w:rsidRPr="00837D04">
        <w:rPr>
          <w:rFonts w:ascii="仿宋_GB2312" w:eastAsia="仿宋_GB2312" w:hAnsi="仿宋" w:cs="宋体" w:hint="eastAsia"/>
          <w:bCs/>
          <w:color w:val="000000"/>
          <w:kern w:val="0"/>
          <w:sz w:val="32"/>
          <w:szCs w:val="32"/>
        </w:rPr>
        <w:lastRenderedPageBreak/>
        <w:t>托单位出具的说明材料扫描件，专业机构可根据情况通知补交。</w:t>
      </w:r>
    </w:p>
    <w:p w14:paraId="5292CD25"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项目申报单位网上填报预申报书的受理时间为：2022年6月21日8：00至7月11日16：00。进入答辩评审环节的申报项目，由申报单位按要求填报正式申报书，并通过国科管系统提交，具体时间和有关要求另行通知。</w:t>
      </w:r>
    </w:p>
    <w:p w14:paraId="64D4F488" w14:textId="443F7B61"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2.组织推荐。请各推荐单位于2022年7月15日16：00前通过国科管系统逐项确认推荐项目，并将加盖推荐单位公章的</w:t>
      </w:r>
      <w:proofErr w:type="gramStart"/>
      <w:r w:rsidRPr="00837D04">
        <w:rPr>
          <w:rFonts w:ascii="仿宋_GB2312" w:eastAsia="仿宋_GB2312" w:hAnsi="仿宋" w:cs="宋体" w:hint="eastAsia"/>
          <w:bCs/>
          <w:color w:val="000000"/>
          <w:kern w:val="0"/>
          <w:sz w:val="32"/>
          <w:szCs w:val="32"/>
        </w:rPr>
        <w:t>推荐函以电子扫描</w:t>
      </w:r>
      <w:proofErr w:type="gramEnd"/>
      <w:r w:rsidRPr="00837D04">
        <w:rPr>
          <w:rFonts w:ascii="仿宋_GB2312" w:eastAsia="仿宋_GB2312" w:hAnsi="仿宋" w:cs="宋体" w:hint="eastAsia"/>
          <w:bCs/>
          <w:color w:val="000000"/>
          <w:kern w:val="0"/>
          <w:sz w:val="32"/>
          <w:szCs w:val="32"/>
        </w:rPr>
        <w:t>件上传。</w:t>
      </w:r>
    </w:p>
    <w:p w14:paraId="58B5FB6B" w14:textId="526CFE98"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3.技术咨询电话及邮箱：</w:t>
      </w:r>
    </w:p>
    <w:p w14:paraId="587B14EE"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010-58882999（中继线），program@istic.ac.cn</w:t>
      </w:r>
    </w:p>
    <w:p w14:paraId="04DEDF3B"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4. 业务咨询电话：</w:t>
      </w:r>
    </w:p>
    <w:p w14:paraId="75269C11"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（1）“地球观测与导航”重点专项咨询电话：010-88377340</w:t>
      </w:r>
    </w:p>
    <w:p w14:paraId="653E3CDF" w14:textId="583B813E"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（2）“文化科技与现代服务业”重点专项咨询电话：010-88377340</w:t>
      </w:r>
    </w:p>
    <w:p w14:paraId="1FB22B3A" w14:textId="77777777" w:rsidR="00837D04" w:rsidRPr="00837D04" w:rsidRDefault="00837D04" w:rsidP="00416954">
      <w:pPr>
        <w:widowControl/>
        <w:shd w:val="clear" w:color="auto" w:fill="FFFFFF"/>
        <w:wordWrap w:val="0"/>
        <w:spacing w:line="450" w:lineRule="atLeast"/>
        <w:ind w:firstLineChars="200" w:firstLine="640"/>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请登录系统，在“公开公示-申报指南（2022）”菜单栏中查看申报指南材料。</w:t>
      </w:r>
    </w:p>
    <w:p w14:paraId="11311F59" w14:textId="77777777" w:rsidR="00837D04" w:rsidRPr="00837D04" w:rsidRDefault="00837D04" w:rsidP="00837D04">
      <w:pPr>
        <w:widowControl/>
        <w:shd w:val="clear" w:color="auto" w:fill="FFFFFF"/>
        <w:wordWrap w:val="0"/>
        <w:spacing w:line="390" w:lineRule="atLeast"/>
        <w:ind w:firstLine="480"/>
        <w:jc w:val="right"/>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科技部</w:t>
      </w:r>
    </w:p>
    <w:p w14:paraId="248C538E" w14:textId="77777777" w:rsidR="00837D04" w:rsidRPr="00837D04" w:rsidRDefault="00837D04" w:rsidP="00837D04">
      <w:pPr>
        <w:widowControl/>
        <w:shd w:val="clear" w:color="auto" w:fill="FFFFFF"/>
        <w:wordWrap w:val="0"/>
        <w:spacing w:line="390" w:lineRule="atLeast"/>
        <w:ind w:firstLine="480"/>
        <w:jc w:val="right"/>
        <w:rPr>
          <w:rFonts w:ascii="仿宋_GB2312" w:eastAsia="仿宋_GB2312" w:hAnsi="仿宋" w:cs="宋体"/>
          <w:bCs/>
          <w:color w:val="000000"/>
          <w:kern w:val="0"/>
          <w:sz w:val="32"/>
          <w:szCs w:val="32"/>
        </w:rPr>
      </w:pPr>
      <w:r w:rsidRPr="00837D04">
        <w:rPr>
          <w:rFonts w:ascii="仿宋_GB2312" w:eastAsia="仿宋_GB2312" w:hAnsi="仿宋" w:cs="宋体" w:hint="eastAsia"/>
          <w:bCs/>
          <w:color w:val="000000"/>
          <w:kern w:val="0"/>
          <w:sz w:val="32"/>
          <w:szCs w:val="32"/>
        </w:rPr>
        <w:t>2022年5月18日</w:t>
      </w:r>
    </w:p>
    <w:p w14:paraId="3BB1811F" w14:textId="77777777" w:rsidR="00F216A1" w:rsidRPr="00837D04" w:rsidRDefault="00F216A1">
      <w:pPr>
        <w:rPr>
          <w:rFonts w:ascii="仿宋_GB2312" w:eastAsia="仿宋_GB2312" w:hAnsi="仿宋" w:cs="宋体"/>
          <w:bCs/>
          <w:color w:val="000000"/>
          <w:kern w:val="0"/>
          <w:sz w:val="32"/>
          <w:szCs w:val="32"/>
        </w:rPr>
      </w:pPr>
    </w:p>
    <w:sectPr w:rsidR="00F216A1" w:rsidRPr="00837D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60E7" w14:textId="77777777" w:rsidR="0083527C" w:rsidRDefault="0083527C" w:rsidP="00416954">
      <w:r>
        <w:separator/>
      </w:r>
    </w:p>
  </w:endnote>
  <w:endnote w:type="continuationSeparator" w:id="0">
    <w:p w14:paraId="217EACBB" w14:textId="77777777" w:rsidR="0083527C" w:rsidRDefault="0083527C" w:rsidP="0041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32DF" w14:textId="77777777" w:rsidR="0083527C" w:rsidRDefault="0083527C" w:rsidP="00416954">
      <w:r>
        <w:separator/>
      </w:r>
    </w:p>
  </w:footnote>
  <w:footnote w:type="continuationSeparator" w:id="0">
    <w:p w14:paraId="75406A88" w14:textId="77777777" w:rsidR="0083527C" w:rsidRDefault="0083527C" w:rsidP="00416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04"/>
    <w:rsid w:val="00416954"/>
    <w:rsid w:val="0083527C"/>
    <w:rsid w:val="00837D04"/>
    <w:rsid w:val="00F2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A1399"/>
  <w15:chartTrackingRefBased/>
  <w15:docId w15:val="{ED93C1EA-C5B5-40D6-9DC9-A5FE874B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37D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D04"/>
    <w:rPr>
      <w:rFonts w:ascii="宋体" w:eastAsia="宋体" w:hAnsi="宋体" w:cs="宋体"/>
      <w:b/>
      <w:bCs/>
      <w:kern w:val="36"/>
      <w:sz w:val="48"/>
      <w:szCs w:val="48"/>
    </w:rPr>
  </w:style>
  <w:style w:type="paragraph" w:customStyle="1" w:styleId="articlesubtitle">
    <w:name w:val="article__subtitle"/>
    <w:basedOn w:val="a"/>
    <w:rsid w:val="00837D0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nhideWhenUsed/>
    <w:rsid w:val="00837D0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37D04"/>
    <w:rPr>
      <w:color w:val="0000FF"/>
      <w:u w:val="single"/>
    </w:rPr>
  </w:style>
  <w:style w:type="paragraph" w:styleId="a5">
    <w:name w:val="header"/>
    <w:basedOn w:val="a"/>
    <w:link w:val="a6"/>
    <w:uiPriority w:val="99"/>
    <w:unhideWhenUsed/>
    <w:rsid w:val="0041695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16954"/>
    <w:rPr>
      <w:sz w:val="18"/>
      <w:szCs w:val="18"/>
    </w:rPr>
  </w:style>
  <w:style w:type="paragraph" w:styleId="a7">
    <w:name w:val="footer"/>
    <w:basedOn w:val="a"/>
    <w:link w:val="a8"/>
    <w:uiPriority w:val="99"/>
    <w:unhideWhenUsed/>
    <w:rsid w:val="00416954"/>
    <w:pPr>
      <w:tabs>
        <w:tab w:val="center" w:pos="4153"/>
        <w:tab w:val="right" w:pos="8306"/>
      </w:tabs>
      <w:snapToGrid w:val="0"/>
      <w:jc w:val="left"/>
    </w:pPr>
    <w:rPr>
      <w:sz w:val="18"/>
      <w:szCs w:val="18"/>
    </w:rPr>
  </w:style>
  <w:style w:type="character" w:customStyle="1" w:styleId="a8">
    <w:name w:val="页脚 字符"/>
    <w:basedOn w:val="a0"/>
    <w:link w:val="a7"/>
    <w:uiPriority w:val="99"/>
    <w:rsid w:val="004169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7875">
      <w:bodyDiv w:val="1"/>
      <w:marLeft w:val="0"/>
      <w:marRight w:val="0"/>
      <w:marTop w:val="0"/>
      <w:marBottom w:val="0"/>
      <w:divBdr>
        <w:top w:val="none" w:sz="0" w:space="0" w:color="auto"/>
        <w:left w:val="none" w:sz="0" w:space="0" w:color="auto"/>
        <w:bottom w:val="none" w:sz="0" w:space="0" w:color="auto"/>
        <w:right w:val="none" w:sz="0" w:space="0" w:color="auto"/>
      </w:divBdr>
      <w:divsChild>
        <w:div w:id="694189827">
          <w:marLeft w:val="0"/>
          <w:marRight w:val="0"/>
          <w:marTop w:val="0"/>
          <w:marBottom w:val="0"/>
          <w:divBdr>
            <w:top w:val="none" w:sz="0" w:space="0" w:color="auto"/>
            <w:left w:val="none" w:sz="0" w:space="0" w:color="auto"/>
            <w:bottom w:val="none" w:sz="0" w:space="0" w:color="auto"/>
            <w:right w:val="none" w:sz="0" w:space="0" w:color="auto"/>
          </w:divBdr>
          <w:divsChild>
            <w:div w:id="1730228332">
              <w:marLeft w:val="0"/>
              <w:marRight w:val="0"/>
              <w:marTop w:val="0"/>
              <w:marBottom w:val="0"/>
              <w:divBdr>
                <w:top w:val="single" w:sz="24" w:space="15" w:color="005FBA"/>
                <w:left w:val="none" w:sz="0" w:space="0" w:color="auto"/>
                <w:bottom w:val="none" w:sz="0" w:space="0" w:color="auto"/>
                <w:right w:val="none" w:sz="0" w:space="0" w:color="auto"/>
              </w:divBdr>
              <w:divsChild>
                <w:div w:id="644286316">
                  <w:marLeft w:val="0"/>
                  <w:marRight w:val="0"/>
                  <w:marTop w:val="0"/>
                  <w:marBottom w:val="0"/>
                  <w:divBdr>
                    <w:top w:val="none" w:sz="0" w:space="0" w:color="auto"/>
                    <w:left w:val="none" w:sz="0" w:space="0" w:color="auto"/>
                    <w:bottom w:val="none" w:sz="0" w:space="0" w:color="auto"/>
                    <w:right w:val="none" w:sz="0" w:space="0" w:color="auto"/>
                  </w:divBdr>
                  <w:divsChild>
                    <w:div w:id="192234919">
                      <w:marLeft w:val="0"/>
                      <w:marRight w:val="0"/>
                      <w:marTop w:val="0"/>
                      <w:marBottom w:val="0"/>
                      <w:divBdr>
                        <w:top w:val="none" w:sz="0" w:space="0" w:color="auto"/>
                        <w:left w:val="none" w:sz="0" w:space="0" w:color="auto"/>
                        <w:bottom w:val="none" w:sz="0" w:space="0" w:color="auto"/>
                        <w:right w:val="none" w:sz="0" w:space="0" w:color="auto"/>
                      </w:divBdr>
                    </w:div>
                  </w:divsChild>
                </w:div>
                <w:div w:id="131086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6757">
          <w:marLeft w:val="0"/>
          <w:marRight w:val="0"/>
          <w:marTop w:val="0"/>
          <w:marBottom w:val="0"/>
          <w:divBdr>
            <w:top w:val="none" w:sz="0" w:space="0" w:color="auto"/>
            <w:left w:val="none" w:sz="0" w:space="0" w:color="auto"/>
            <w:bottom w:val="none" w:sz="0" w:space="0" w:color="auto"/>
            <w:right w:val="none" w:sz="0" w:space="0" w:color="auto"/>
          </w:divBdr>
          <w:divsChild>
            <w:div w:id="2015523286">
              <w:marLeft w:val="0"/>
              <w:marRight w:val="0"/>
              <w:marTop w:val="0"/>
              <w:marBottom w:val="0"/>
              <w:divBdr>
                <w:top w:val="none" w:sz="0" w:space="0" w:color="auto"/>
                <w:left w:val="none" w:sz="0" w:space="0" w:color="auto"/>
                <w:bottom w:val="none" w:sz="0" w:space="0" w:color="auto"/>
                <w:right w:val="none" w:sz="0" w:space="0" w:color="auto"/>
              </w:divBdr>
              <w:divsChild>
                <w:div w:id="1923954658">
                  <w:marLeft w:val="0"/>
                  <w:marRight w:val="0"/>
                  <w:marTop w:val="0"/>
                  <w:marBottom w:val="0"/>
                  <w:divBdr>
                    <w:top w:val="none" w:sz="0" w:space="0" w:color="auto"/>
                    <w:left w:val="none" w:sz="0" w:space="0" w:color="auto"/>
                    <w:bottom w:val="none" w:sz="0" w:space="0" w:color="auto"/>
                    <w:right w:val="none" w:sz="0" w:space="0" w:color="auto"/>
                  </w:divBdr>
                  <w:divsChild>
                    <w:div w:id="1791388698">
                      <w:marLeft w:val="0"/>
                      <w:marRight w:val="180"/>
                      <w:marTop w:val="0"/>
                      <w:marBottom w:val="0"/>
                      <w:divBdr>
                        <w:top w:val="none" w:sz="0" w:space="0" w:color="auto"/>
                        <w:left w:val="none" w:sz="0" w:space="0" w:color="auto"/>
                        <w:bottom w:val="none" w:sz="0" w:space="0" w:color="auto"/>
                        <w:right w:val="none" w:sz="0" w:space="0" w:color="auto"/>
                      </w:divBdr>
                      <w:divsChild>
                        <w:div w:id="1263949399">
                          <w:marLeft w:val="0"/>
                          <w:marRight w:val="0"/>
                          <w:marTop w:val="0"/>
                          <w:marBottom w:val="0"/>
                          <w:divBdr>
                            <w:top w:val="none" w:sz="0" w:space="0" w:color="auto"/>
                            <w:left w:val="none" w:sz="0" w:space="0" w:color="auto"/>
                            <w:bottom w:val="none" w:sz="0" w:space="0" w:color="auto"/>
                            <w:right w:val="none" w:sz="0" w:space="0" w:color="auto"/>
                          </w:divBdr>
                        </w:div>
                      </w:divsChild>
                    </w:div>
                    <w:div w:id="491021708">
                      <w:marLeft w:val="0"/>
                      <w:marRight w:val="180"/>
                      <w:marTop w:val="0"/>
                      <w:marBottom w:val="0"/>
                      <w:divBdr>
                        <w:top w:val="none" w:sz="0" w:space="0" w:color="auto"/>
                        <w:left w:val="none" w:sz="0" w:space="0" w:color="auto"/>
                        <w:bottom w:val="none" w:sz="0" w:space="0" w:color="auto"/>
                        <w:right w:val="none" w:sz="0" w:space="0" w:color="auto"/>
                      </w:divBdr>
                      <w:divsChild>
                        <w:div w:id="1522936802">
                          <w:marLeft w:val="0"/>
                          <w:marRight w:val="0"/>
                          <w:marTop w:val="0"/>
                          <w:marBottom w:val="0"/>
                          <w:divBdr>
                            <w:top w:val="none" w:sz="0" w:space="0" w:color="auto"/>
                            <w:left w:val="none" w:sz="0" w:space="0" w:color="auto"/>
                            <w:bottom w:val="none" w:sz="0" w:space="0" w:color="auto"/>
                            <w:right w:val="none" w:sz="0" w:space="0" w:color="auto"/>
                          </w:divBdr>
                        </w:div>
                      </w:divsChild>
                    </w:div>
                    <w:div w:id="491802416">
                      <w:marLeft w:val="0"/>
                      <w:marRight w:val="0"/>
                      <w:marTop w:val="0"/>
                      <w:marBottom w:val="0"/>
                      <w:divBdr>
                        <w:top w:val="none" w:sz="0" w:space="0" w:color="auto"/>
                        <w:left w:val="none" w:sz="0" w:space="0" w:color="auto"/>
                        <w:bottom w:val="none" w:sz="0" w:space="0" w:color="auto"/>
                        <w:right w:val="none" w:sz="0" w:space="0" w:color="auto"/>
                      </w:divBdr>
                      <w:divsChild>
                        <w:div w:id="16107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评估中心</dc:creator>
  <cp:keywords/>
  <dc:description/>
  <cp:lastModifiedBy>评估中心</cp:lastModifiedBy>
  <cp:revision>2</cp:revision>
  <dcterms:created xsi:type="dcterms:W3CDTF">2022-06-10T06:28:00Z</dcterms:created>
  <dcterms:modified xsi:type="dcterms:W3CDTF">2022-06-10T06:34:00Z</dcterms:modified>
</cp:coreProperties>
</file>