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2D" w:rsidRDefault="0054612D" w:rsidP="0054612D">
      <w:pPr>
        <w:spacing w:line="660" w:lineRule="exact"/>
        <w:jc w:val="center"/>
        <w:rPr>
          <w:rFonts w:ascii="方正小标宋简体" w:eastAsia="方正小标宋简体"/>
          <w:sz w:val="44"/>
          <w:szCs w:val="44"/>
        </w:rPr>
      </w:pPr>
      <w:bookmarkStart w:id="0" w:name="_GoBack"/>
      <w:bookmarkEnd w:id="0"/>
      <w:r w:rsidRPr="0054612D">
        <w:rPr>
          <w:rFonts w:ascii="方正小标宋简体" w:eastAsia="方正小标宋简体" w:hint="eastAsia"/>
          <w:sz w:val="44"/>
          <w:szCs w:val="44"/>
        </w:rPr>
        <w:t>科技部关于发布国家重点研发计划</w:t>
      </w:r>
    </w:p>
    <w:p w:rsidR="0054612D" w:rsidRDefault="0054612D" w:rsidP="0054612D">
      <w:pPr>
        <w:spacing w:line="660" w:lineRule="exact"/>
        <w:jc w:val="center"/>
        <w:rPr>
          <w:rFonts w:ascii="方正小标宋简体" w:eastAsia="方正小标宋简体"/>
          <w:sz w:val="44"/>
          <w:szCs w:val="44"/>
        </w:rPr>
      </w:pPr>
      <w:r w:rsidRPr="0054612D">
        <w:rPr>
          <w:rFonts w:ascii="方正小标宋简体" w:eastAsia="方正小标宋简体" w:hint="eastAsia"/>
          <w:sz w:val="44"/>
          <w:szCs w:val="44"/>
        </w:rPr>
        <w:t>“农业</w:t>
      </w:r>
      <w:r>
        <w:rPr>
          <w:rFonts w:ascii="方正小标宋简体" w:eastAsia="方正小标宋简体" w:hint="eastAsia"/>
          <w:sz w:val="44"/>
          <w:szCs w:val="44"/>
        </w:rPr>
        <w:t>生物重要性状形成与环境适应性基础</w:t>
      </w:r>
      <w:r w:rsidRPr="0054612D">
        <w:rPr>
          <w:rFonts w:ascii="方正小标宋简体" w:eastAsia="方正小标宋简体" w:hint="eastAsia"/>
          <w:sz w:val="44"/>
          <w:szCs w:val="44"/>
        </w:rPr>
        <w:t>究”等“十四五”重点专项2021年度</w:t>
      </w:r>
    </w:p>
    <w:p w:rsidR="0054612D" w:rsidRPr="0054612D" w:rsidRDefault="0054612D" w:rsidP="0054612D">
      <w:pPr>
        <w:spacing w:line="660" w:lineRule="exact"/>
        <w:jc w:val="center"/>
        <w:rPr>
          <w:rFonts w:ascii="方正小标宋简体" w:eastAsia="方正小标宋简体"/>
          <w:sz w:val="44"/>
          <w:szCs w:val="44"/>
        </w:rPr>
      </w:pPr>
      <w:r w:rsidRPr="0054612D">
        <w:rPr>
          <w:rFonts w:ascii="方正小标宋简体" w:eastAsia="方正小标宋简体" w:hint="eastAsia"/>
          <w:sz w:val="44"/>
          <w:szCs w:val="44"/>
        </w:rPr>
        <w:t>项目申报指南的通知</w:t>
      </w:r>
    </w:p>
    <w:p w:rsidR="0054612D" w:rsidRPr="0054612D" w:rsidRDefault="0054612D" w:rsidP="0054612D">
      <w:pPr>
        <w:jc w:val="center"/>
        <w:rPr>
          <w:rFonts w:ascii="仿宋_GB2312" w:eastAsia="仿宋_GB2312"/>
          <w:sz w:val="32"/>
          <w:szCs w:val="32"/>
        </w:rPr>
      </w:pPr>
      <w:r w:rsidRPr="0054612D">
        <w:rPr>
          <w:rFonts w:ascii="仿宋_GB2312" w:eastAsia="仿宋_GB2312" w:hint="eastAsia"/>
          <w:sz w:val="32"/>
          <w:szCs w:val="32"/>
        </w:rPr>
        <w:t>国</w:t>
      </w:r>
      <w:proofErr w:type="gramStart"/>
      <w:r w:rsidRPr="0054612D">
        <w:rPr>
          <w:rFonts w:ascii="仿宋_GB2312" w:eastAsia="仿宋_GB2312" w:hint="eastAsia"/>
          <w:sz w:val="32"/>
          <w:szCs w:val="32"/>
        </w:rPr>
        <w:t>科发资〔2021〕</w:t>
      </w:r>
      <w:proofErr w:type="gramEnd"/>
      <w:r w:rsidRPr="0054612D">
        <w:rPr>
          <w:rFonts w:ascii="仿宋_GB2312" w:eastAsia="仿宋_GB2312" w:hint="eastAsia"/>
          <w:sz w:val="32"/>
          <w:szCs w:val="32"/>
        </w:rPr>
        <w:t>140号</w:t>
      </w:r>
    </w:p>
    <w:p w:rsidR="00637B5C" w:rsidRDefault="0054612D" w:rsidP="00637B5C">
      <w:pPr>
        <w:rPr>
          <w:rFonts w:ascii="仿宋_GB2312" w:eastAsia="仿宋_GB2312"/>
          <w:sz w:val="32"/>
          <w:szCs w:val="32"/>
        </w:rPr>
      </w:pPr>
      <w:r w:rsidRPr="0054612D">
        <w:rPr>
          <w:rFonts w:ascii="仿宋_GB2312" w:eastAsia="仿宋_GB2312" w:hint="eastAsia"/>
          <w:sz w:val="32"/>
          <w:szCs w:val="32"/>
        </w:rPr>
        <w:t>各省、自治区、直辖市及计划单列市科技厅（委、局），新疆生产建设兵团科技局，国务院各有关部门，各有关单位：</w:t>
      </w:r>
    </w:p>
    <w:p w:rsidR="0054612D" w:rsidRPr="0054612D" w:rsidRDefault="0054612D" w:rsidP="00637B5C">
      <w:pPr>
        <w:ind w:firstLineChars="150" w:firstLine="480"/>
        <w:rPr>
          <w:rFonts w:ascii="仿宋_GB2312" w:eastAsia="仿宋_GB2312"/>
          <w:sz w:val="32"/>
          <w:szCs w:val="32"/>
        </w:rPr>
      </w:pPr>
      <w:r w:rsidRPr="0054612D">
        <w:rPr>
          <w:rFonts w:ascii="仿宋_GB2312" w:eastAsia="仿宋_GB2312" w:hint="eastAsia"/>
          <w:sz w:val="32"/>
          <w:szCs w:val="32"/>
        </w:rPr>
        <w:t>“十四五”国家重点研发计划深入贯彻落实党的十九届五中全会精神和“十四五”规划，坚持“四个面向”总要求，积极探索“揭榜挂帅”等科技管理改革举措，全面提升科研投入绩效。根据《国家重点研发计划管理暂行办法》和组织管理相关要求，现将“农业生物重要性状形成与环境适应性基础研究”等“十四五”重点专项2021年度项目申报指南予以公布。请根据指南要求组织项目申报工作。现将有关事项通知如下。</w:t>
      </w:r>
    </w:p>
    <w:p w:rsidR="0054612D" w:rsidRPr="009D7169" w:rsidRDefault="0054612D" w:rsidP="00637B5C">
      <w:pPr>
        <w:ind w:firstLineChars="200" w:firstLine="640"/>
        <w:rPr>
          <w:rFonts w:ascii="黑体" w:eastAsia="黑体" w:hAnsi="黑体"/>
          <w:sz w:val="32"/>
          <w:szCs w:val="32"/>
        </w:rPr>
      </w:pPr>
      <w:r w:rsidRPr="009D7169">
        <w:rPr>
          <w:rFonts w:ascii="黑体" w:eastAsia="黑体" w:hAnsi="黑体" w:hint="eastAsia"/>
          <w:sz w:val="32"/>
          <w:szCs w:val="32"/>
        </w:rPr>
        <w:t>一、项目组织申报工作流程</w:t>
      </w:r>
    </w:p>
    <w:p w:rsidR="0054612D" w:rsidRPr="0054612D" w:rsidRDefault="00637B5C" w:rsidP="00637B5C">
      <w:pPr>
        <w:ind w:firstLineChars="200" w:firstLine="640"/>
        <w:rPr>
          <w:rFonts w:ascii="仿宋_GB2312" w:eastAsia="仿宋_GB2312"/>
          <w:sz w:val="32"/>
          <w:szCs w:val="32"/>
        </w:rPr>
      </w:pPr>
      <w:r>
        <w:rPr>
          <w:rFonts w:ascii="仿宋_GB2312" w:eastAsia="仿宋_GB2312" w:hint="eastAsia"/>
          <w:sz w:val="32"/>
          <w:szCs w:val="32"/>
        </w:rPr>
        <w:t>1.</w:t>
      </w:r>
      <w:r w:rsidR="0054612D" w:rsidRPr="0054612D">
        <w:rPr>
          <w:rFonts w:ascii="仿宋_GB2312" w:eastAsia="仿宋_GB2312" w:hint="eastAsia"/>
          <w:sz w:val="32"/>
          <w:szCs w:val="32"/>
        </w:rPr>
        <w:t>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54612D" w:rsidRPr="0054612D" w:rsidRDefault="00637B5C" w:rsidP="00637B5C">
      <w:pPr>
        <w:ind w:firstLineChars="200" w:firstLine="640"/>
        <w:rPr>
          <w:rFonts w:ascii="仿宋_GB2312" w:eastAsia="仿宋_GB2312"/>
          <w:sz w:val="32"/>
          <w:szCs w:val="32"/>
        </w:rPr>
      </w:pPr>
      <w:r>
        <w:rPr>
          <w:rFonts w:ascii="仿宋_GB2312" w:eastAsia="仿宋_GB2312" w:hint="eastAsia"/>
          <w:sz w:val="32"/>
          <w:szCs w:val="32"/>
        </w:rPr>
        <w:t>2.</w:t>
      </w:r>
      <w:r w:rsidR="0054612D" w:rsidRPr="0054612D">
        <w:rPr>
          <w:rFonts w:ascii="仿宋_GB2312" w:eastAsia="仿宋_GB2312" w:hint="eastAsia"/>
          <w:sz w:val="32"/>
          <w:szCs w:val="32"/>
        </w:rPr>
        <w:t>项目组织实施应整合优势创新团队，聚焦指南任务，强化基础研究、共性关键技术研发和典型应用示范各项任务</w:t>
      </w:r>
      <w:r w:rsidR="0054612D" w:rsidRPr="0054612D">
        <w:rPr>
          <w:rFonts w:ascii="仿宋_GB2312" w:eastAsia="仿宋_GB2312" w:hint="eastAsia"/>
          <w:sz w:val="32"/>
          <w:szCs w:val="32"/>
        </w:rPr>
        <w:lastRenderedPageBreak/>
        <w:t>间的统筹衔接，集中力量，联合攻关。</w:t>
      </w:r>
    </w:p>
    <w:p w:rsidR="0054612D" w:rsidRPr="0054612D" w:rsidRDefault="00637B5C" w:rsidP="00637B5C">
      <w:pPr>
        <w:ind w:firstLineChars="200" w:firstLine="640"/>
        <w:rPr>
          <w:rFonts w:ascii="仿宋_GB2312" w:eastAsia="仿宋_GB2312"/>
          <w:sz w:val="32"/>
          <w:szCs w:val="32"/>
        </w:rPr>
      </w:pPr>
      <w:r>
        <w:rPr>
          <w:rFonts w:ascii="仿宋_GB2312" w:eastAsia="仿宋_GB2312" w:hint="eastAsia"/>
          <w:sz w:val="32"/>
          <w:szCs w:val="32"/>
        </w:rPr>
        <w:t>3.</w:t>
      </w:r>
      <w:r w:rsidR="0054612D" w:rsidRPr="0054612D">
        <w:rPr>
          <w:rFonts w:ascii="仿宋_GB2312" w:eastAsia="仿宋_GB2312" w:hint="eastAsia"/>
          <w:sz w:val="32"/>
          <w:szCs w:val="32"/>
        </w:rPr>
        <w:t>国家重点研发计划项目申报过程分为预申报、正式申报两个环节，具体工作流程如下。</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54612D">
        <w:rPr>
          <w:rFonts w:ascii="仿宋_GB2312" w:eastAsia="仿宋_GB2312" w:hint="eastAsia"/>
          <w:sz w:val="32"/>
          <w:szCs w:val="32"/>
        </w:rPr>
        <w:t>日到预申报</w:t>
      </w:r>
      <w:proofErr w:type="gramEnd"/>
      <w:r w:rsidRPr="0054612D">
        <w:rPr>
          <w:rFonts w:ascii="仿宋_GB2312" w:eastAsia="仿宋_GB2312" w:hint="eastAsia"/>
          <w:sz w:val="32"/>
          <w:szCs w:val="32"/>
        </w:rPr>
        <w:t>书受理截止日不少于50天。</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预申报书应包括相关协议和承诺。项目牵头申报单位应与所有参与单位签署联合申报协议，并明确协议签署时间；项目牵头申报单位、课题申报单位、项目负责人及课题负责人</w:t>
      </w:r>
      <w:proofErr w:type="gramStart"/>
      <w:r w:rsidRPr="0054612D">
        <w:rPr>
          <w:rFonts w:ascii="仿宋_GB2312" w:eastAsia="仿宋_GB2312" w:hint="eastAsia"/>
          <w:sz w:val="32"/>
          <w:szCs w:val="32"/>
        </w:rPr>
        <w:t>须签署诚信</w:t>
      </w:r>
      <w:proofErr w:type="gramEnd"/>
      <w:r w:rsidRPr="0054612D">
        <w:rPr>
          <w:rFonts w:ascii="仿宋_GB2312" w:eastAsia="仿宋_GB2312" w:hint="eastAsia"/>
          <w:sz w:val="32"/>
          <w:szCs w:val="32"/>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预申报书须经相关单位推荐。各推荐单位加强对所推荐的项目申报材料审核把关，按时将推荐项目通过国科管系统统一报送。</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专业机构受理预申报书并组织首轮评审。为确保合理的竞争度，对于非定向申报的单个指南方向，若申报团队数量不多于</w:t>
      </w:r>
      <w:proofErr w:type="gramStart"/>
      <w:r w:rsidRPr="0054612D">
        <w:rPr>
          <w:rFonts w:ascii="仿宋_GB2312" w:eastAsia="仿宋_GB2312" w:hint="eastAsia"/>
          <w:sz w:val="32"/>
          <w:szCs w:val="32"/>
        </w:rPr>
        <w:t>拟支持</w:t>
      </w:r>
      <w:proofErr w:type="gramEnd"/>
      <w:r w:rsidRPr="0054612D">
        <w:rPr>
          <w:rFonts w:ascii="仿宋_GB2312" w:eastAsia="仿宋_GB2312" w:hint="eastAsia"/>
          <w:sz w:val="32"/>
          <w:szCs w:val="32"/>
        </w:rPr>
        <w:t>的项目数量，该指南方向不启动后续项目评审</w:t>
      </w:r>
      <w:r w:rsidRPr="0054612D">
        <w:rPr>
          <w:rFonts w:ascii="仿宋_GB2312" w:eastAsia="仿宋_GB2312" w:hint="eastAsia"/>
          <w:sz w:val="32"/>
          <w:szCs w:val="32"/>
        </w:rPr>
        <w:lastRenderedPageBreak/>
        <w:t>立项程序，择期重新研究发布指南。专业机构组织形式审查，并根据申报情况开展首轮评审工作。首轮评审不需要项目负责人进行答辩。根据专家的评审结果，遴选出3~</w:t>
      </w:r>
      <w:proofErr w:type="gramStart"/>
      <w:r w:rsidRPr="0054612D">
        <w:rPr>
          <w:rFonts w:ascii="仿宋_GB2312" w:eastAsia="仿宋_GB2312" w:hint="eastAsia"/>
          <w:sz w:val="32"/>
          <w:szCs w:val="32"/>
        </w:rPr>
        <w:t>4倍于拟立项</w:t>
      </w:r>
      <w:proofErr w:type="gramEnd"/>
      <w:r w:rsidRPr="0054612D">
        <w:rPr>
          <w:rFonts w:ascii="仿宋_GB2312" w:eastAsia="仿宋_GB2312" w:hint="eastAsia"/>
          <w:sz w:val="32"/>
          <w:szCs w:val="32"/>
        </w:rPr>
        <w:t>数量的申报项目，进入答辩评审。对于未进入答辩评审的申报项目，及时将评审结果反馈项目申报单位和负责人。</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填写正式申报书。对于通过首轮评审和直接进入答辩评审的项目申请，通过国科管系统填写并提交项目正式申报书，正式申报书受理时间为30天。</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54612D" w:rsidRPr="009D7169" w:rsidRDefault="0054612D" w:rsidP="00637B5C">
      <w:pPr>
        <w:ind w:firstLineChars="200" w:firstLine="640"/>
        <w:rPr>
          <w:rFonts w:ascii="黑体" w:eastAsia="黑体" w:hAnsi="黑体"/>
          <w:sz w:val="32"/>
          <w:szCs w:val="32"/>
        </w:rPr>
      </w:pPr>
      <w:r w:rsidRPr="009D7169">
        <w:rPr>
          <w:rFonts w:ascii="Calibri" w:eastAsia="黑体" w:hAnsi="Calibri" w:cs="Calibri"/>
          <w:sz w:val="32"/>
          <w:szCs w:val="32"/>
        </w:rPr>
        <w:t> </w:t>
      </w:r>
      <w:r w:rsidRPr="009D7169">
        <w:rPr>
          <w:rFonts w:ascii="黑体" w:eastAsia="黑体" w:hAnsi="黑体" w:hint="eastAsia"/>
          <w:sz w:val="32"/>
          <w:szCs w:val="32"/>
        </w:rPr>
        <w:t>二、组织申报的推荐单位</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1.国务院有关部门科技主管司局；</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2.各省、自治区、直辖市、计划单列市及新疆生产建设兵团科技主管部门；</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3.原工业部门转制成立的行业协会；</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4.纳入科技</w:t>
      </w:r>
      <w:proofErr w:type="gramStart"/>
      <w:r w:rsidRPr="0054612D">
        <w:rPr>
          <w:rFonts w:ascii="仿宋_GB2312" w:eastAsia="仿宋_GB2312" w:hint="eastAsia"/>
          <w:sz w:val="32"/>
          <w:szCs w:val="32"/>
        </w:rPr>
        <w:t>部试点</w:t>
      </w:r>
      <w:proofErr w:type="gramEnd"/>
      <w:r w:rsidRPr="0054612D">
        <w:rPr>
          <w:rFonts w:ascii="仿宋_GB2312" w:eastAsia="仿宋_GB2312" w:hint="eastAsia"/>
          <w:sz w:val="32"/>
          <w:szCs w:val="32"/>
        </w:rPr>
        <w:t>范围并且评估结果为A类的产业技术</w:t>
      </w:r>
      <w:r w:rsidRPr="0054612D">
        <w:rPr>
          <w:rFonts w:ascii="仿宋_GB2312" w:eastAsia="仿宋_GB2312" w:hint="eastAsia"/>
          <w:sz w:val="32"/>
          <w:szCs w:val="32"/>
        </w:rPr>
        <w:lastRenderedPageBreak/>
        <w:t>创新战略联盟，以及纳入科技部、财政部开展的科技服务业创新发展行业试点联盟。</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各推荐单位应在本单位职能和业务范围内推荐，并对所推荐项目的真实性等负责。推荐单位名单在国科管系统上公开发布。</w:t>
      </w:r>
    </w:p>
    <w:p w:rsidR="0054612D" w:rsidRPr="009D7169" w:rsidRDefault="0054612D" w:rsidP="00637B5C">
      <w:pPr>
        <w:ind w:firstLineChars="200" w:firstLine="640"/>
        <w:rPr>
          <w:rFonts w:ascii="Calibri" w:eastAsia="黑体" w:hAnsi="Calibri" w:cs="Calibri"/>
          <w:sz w:val="32"/>
          <w:szCs w:val="32"/>
        </w:rPr>
      </w:pPr>
      <w:r w:rsidRPr="009D7169">
        <w:rPr>
          <w:rFonts w:ascii="Calibri" w:eastAsia="黑体" w:hAnsi="Calibri" w:cs="Calibri" w:hint="eastAsia"/>
          <w:sz w:val="32"/>
          <w:szCs w:val="32"/>
        </w:rPr>
        <w:t>三、申报资格要求</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1.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项目牵头申报单位、参与单位以及团队成员诚信状况良好，无在惩戒执行期内的科研严重失信行为记录和相关社会领域信用“黑名单”记录。</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申报单位同一个项目只能通过单个推荐单位申报，不得多头申报和重复申报。</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2.项目（课题）负责人须具有高级职称或博士学位，1961年1月1日以后出生，每年用于项目的工作时间不得少于6个月。</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lastRenderedPageBreak/>
        <w:t>4.项目（课题）负责人限申报1个项目（课题）；国家科技重大专项、国家重点研发计划、科技创新2030</w:t>
      </w:r>
      <w:proofErr w:type="gramStart"/>
      <w:r w:rsidRPr="0054612D">
        <w:rPr>
          <w:rFonts w:ascii="仿宋_GB2312" w:eastAsia="仿宋_GB2312" w:hint="eastAsia"/>
          <w:sz w:val="32"/>
          <w:szCs w:val="32"/>
        </w:rPr>
        <w:t>—重大</w:t>
      </w:r>
      <w:proofErr w:type="gramEnd"/>
      <w:r w:rsidRPr="0054612D">
        <w:rPr>
          <w:rFonts w:ascii="仿宋_GB2312" w:eastAsia="仿宋_GB2312" w:hint="eastAsia"/>
          <w:sz w:val="32"/>
          <w:szCs w:val="32"/>
        </w:rPr>
        <w:t>项目的在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项目负责人不得牵头或参与申报项目（课题），课题负责人可参与申报项目（课题）。</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项目（课题）负责人、项目骨干的申报项目（课题）和国家科技重大专项、国家重点研发计划、科技创新2030</w:t>
      </w:r>
      <w:proofErr w:type="gramStart"/>
      <w:r w:rsidRPr="0054612D">
        <w:rPr>
          <w:rFonts w:ascii="仿宋_GB2312" w:eastAsia="仿宋_GB2312" w:hint="eastAsia"/>
          <w:sz w:val="32"/>
          <w:szCs w:val="32"/>
        </w:rPr>
        <w:t>—重大</w:t>
      </w:r>
      <w:proofErr w:type="gramEnd"/>
      <w:r w:rsidRPr="0054612D">
        <w:rPr>
          <w:rFonts w:ascii="仿宋_GB2312" w:eastAsia="仿宋_GB2312" w:hint="eastAsia"/>
          <w:sz w:val="32"/>
          <w:szCs w:val="32"/>
        </w:rPr>
        <w:t>项目在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项目（课题）总数不得超过2个。国家科技重大专项、国家重点研发计划、科技创新2030</w:t>
      </w:r>
      <w:proofErr w:type="gramStart"/>
      <w:r w:rsidRPr="0054612D">
        <w:rPr>
          <w:rFonts w:ascii="仿宋_GB2312" w:eastAsia="仿宋_GB2312" w:hint="eastAsia"/>
          <w:sz w:val="32"/>
          <w:szCs w:val="32"/>
        </w:rPr>
        <w:t>—重大</w:t>
      </w:r>
      <w:proofErr w:type="gramEnd"/>
      <w:r w:rsidRPr="0054612D">
        <w:rPr>
          <w:rFonts w:ascii="仿宋_GB2312" w:eastAsia="仿宋_GB2312" w:hint="eastAsia"/>
          <w:sz w:val="32"/>
          <w:szCs w:val="32"/>
        </w:rPr>
        <w:t>项目的在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项目（课题）负责人和项目骨干不得因申报新项目而退出在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项目；退出项目研发团队后，在原项目执行期内原则上不得牵头或参与申报新的国家重点研发计划项目。</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项目任务</w:t>
      </w:r>
      <w:proofErr w:type="gramStart"/>
      <w:r w:rsidRPr="0054612D">
        <w:rPr>
          <w:rFonts w:ascii="仿宋_GB2312" w:eastAsia="仿宋_GB2312" w:hint="eastAsia"/>
          <w:sz w:val="32"/>
          <w:szCs w:val="32"/>
        </w:rPr>
        <w:t>书执行</w:t>
      </w:r>
      <w:proofErr w:type="gramEnd"/>
      <w:r w:rsidRPr="0054612D">
        <w:rPr>
          <w:rFonts w:ascii="仿宋_GB2312" w:eastAsia="仿宋_GB2312" w:hint="eastAsia"/>
          <w:sz w:val="32"/>
          <w:szCs w:val="32"/>
        </w:rPr>
        <w:t>期（包括延期后的执行期）到2021年12月31日之前的在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w:t>
      </w:r>
      <w:proofErr w:type="gramStart"/>
      <w:r w:rsidRPr="0054612D">
        <w:rPr>
          <w:rFonts w:ascii="仿宋_GB2312" w:eastAsia="仿宋_GB2312" w:hint="eastAsia"/>
          <w:sz w:val="32"/>
          <w:szCs w:val="32"/>
        </w:rPr>
        <w:t>含任务</w:t>
      </w:r>
      <w:proofErr w:type="gramEnd"/>
      <w:r w:rsidRPr="0054612D">
        <w:rPr>
          <w:rFonts w:ascii="仿宋_GB2312" w:eastAsia="仿宋_GB2312" w:hint="eastAsia"/>
          <w:sz w:val="32"/>
          <w:szCs w:val="32"/>
        </w:rPr>
        <w:t>或课题）不在限项范围内。</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5.参与重点专项实施方案或本年度项目指南编制的专家，原则上不能申报该重点专项项目（课题）。</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6.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7.申报项目受理后，原则上不能更改申报单位和负责人。</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lastRenderedPageBreak/>
        <w:t>8.项目具体申报要求详见各申报指南，有特殊规定的，从其规定。</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各申报单位在正式提交项目申报书前可利用国科管系统查询相关科研人员承担国家科技重大专项、国家重点研发计划重点专项、科技创新2030</w:t>
      </w:r>
      <w:proofErr w:type="gramStart"/>
      <w:r w:rsidRPr="0054612D">
        <w:rPr>
          <w:rFonts w:ascii="仿宋_GB2312" w:eastAsia="仿宋_GB2312" w:hint="eastAsia"/>
          <w:sz w:val="32"/>
          <w:szCs w:val="32"/>
        </w:rPr>
        <w:t>—重大</w:t>
      </w:r>
      <w:proofErr w:type="gramEnd"/>
      <w:r w:rsidRPr="0054612D">
        <w:rPr>
          <w:rFonts w:ascii="仿宋_GB2312" w:eastAsia="仿宋_GB2312" w:hint="eastAsia"/>
          <w:sz w:val="32"/>
          <w:szCs w:val="32"/>
        </w:rPr>
        <w:t>项目在</w:t>
      </w:r>
      <w:proofErr w:type="gramStart"/>
      <w:r w:rsidRPr="0054612D">
        <w:rPr>
          <w:rFonts w:ascii="仿宋_GB2312" w:eastAsia="仿宋_GB2312" w:hint="eastAsia"/>
          <w:sz w:val="32"/>
          <w:szCs w:val="32"/>
        </w:rPr>
        <w:t>研</w:t>
      </w:r>
      <w:proofErr w:type="gramEnd"/>
      <w:r w:rsidRPr="0054612D">
        <w:rPr>
          <w:rFonts w:ascii="仿宋_GB2312" w:eastAsia="仿宋_GB2312" w:hint="eastAsia"/>
          <w:sz w:val="32"/>
          <w:szCs w:val="32"/>
        </w:rPr>
        <w:t>项目（</w:t>
      </w:r>
      <w:proofErr w:type="gramStart"/>
      <w:r w:rsidRPr="0054612D">
        <w:rPr>
          <w:rFonts w:ascii="仿宋_GB2312" w:eastAsia="仿宋_GB2312" w:hint="eastAsia"/>
          <w:sz w:val="32"/>
          <w:szCs w:val="32"/>
        </w:rPr>
        <w:t>含任务</w:t>
      </w:r>
      <w:proofErr w:type="gramEnd"/>
      <w:r w:rsidRPr="0054612D">
        <w:rPr>
          <w:rFonts w:ascii="仿宋_GB2312" w:eastAsia="仿宋_GB2312" w:hint="eastAsia"/>
          <w:sz w:val="32"/>
          <w:szCs w:val="32"/>
        </w:rPr>
        <w:t>或课题）情况，避免重复申报。</w:t>
      </w:r>
    </w:p>
    <w:p w:rsidR="0054612D" w:rsidRPr="009D7169" w:rsidRDefault="0054612D" w:rsidP="00637B5C">
      <w:pPr>
        <w:ind w:firstLineChars="200" w:firstLine="640"/>
        <w:rPr>
          <w:rFonts w:ascii="Calibri" w:eastAsia="黑体" w:hAnsi="Calibri" w:cs="Calibri"/>
          <w:sz w:val="32"/>
          <w:szCs w:val="32"/>
        </w:rPr>
      </w:pPr>
      <w:r w:rsidRPr="009D7169">
        <w:rPr>
          <w:rFonts w:ascii="Calibri" w:eastAsia="黑体" w:hAnsi="Calibri" w:cs="Calibri" w:hint="eastAsia"/>
          <w:sz w:val="32"/>
          <w:szCs w:val="32"/>
        </w:rPr>
        <w:t>四、项目管理改革举措</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关于“揭榜挂帅”项目。为切实提升科研投入绩效、强化重大创新成果的“实战性”，“十四五”重点研发计划聚焦国家战略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关于青年科学家项目。为给青年科研人员创造更多机会组织实施国家目标导向的重大研发任务，重点研发计划在更大范围内设立青年科学家项目。根据领域和专项特点，采取专设青年科学家项目或项目下专设青年科学家课题等多种方式。青年科学家项目</w:t>
      </w:r>
      <w:proofErr w:type="gramStart"/>
      <w:r w:rsidRPr="0054612D">
        <w:rPr>
          <w:rFonts w:ascii="仿宋_GB2312" w:eastAsia="仿宋_GB2312" w:hint="eastAsia"/>
          <w:sz w:val="32"/>
          <w:szCs w:val="32"/>
        </w:rPr>
        <w:t>不</w:t>
      </w:r>
      <w:proofErr w:type="gramEnd"/>
      <w:r w:rsidRPr="0054612D">
        <w:rPr>
          <w:rFonts w:ascii="仿宋_GB2312" w:eastAsia="仿宋_GB2312" w:hint="eastAsia"/>
          <w:sz w:val="32"/>
          <w:szCs w:val="32"/>
        </w:rPr>
        <w:t>下设课题，原则上不再组织预算评估，鼓励青年科学家大胆探索更具创新性和颠覆性的新方法、</w:t>
      </w:r>
      <w:r w:rsidRPr="0054612D">
        <w:rPr>
          <w:rFonts w:ascii="仿宋_GB2312" w:eastAsia="仿宋_GB2312" w:hint="eastAsia"/>
          <w:sz w:val="32"/>
          <w:szCs w:val="32"/>
        </w:rPr>
        <w:lastRenderedPageBreak/>
        <w:t>新路径，</w:t>
      </w:r>
      <w:r w:rsidR="007F78DE">
        <w:rPr>
          <w:rFonts w:ascii="仿宋_GB2312" w:eastAsia="仿宋_GB2312" w:hint="eastAsia"/>
          <w:sz w:val="32"/>
          <w:szCs w:val="32"/>
        </w:rPr>
        <w:t>更好地服务于</w:t>
      </w:r>
      <w:r w:rsidRPr="0054612D">
        <w:rPr>
          <w:rFonts w:ascii="仿宋_GB2312" w:eastAsia="仿宋_GB2312" w:hint="eastAsia"/>
          <w:sz w:val="32"/>
          <w:szCs w:val="32"/>
        </w:rPr>
        <w:t>专项总体目标的实现。</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关于技术就绪度（TRL）管理。除“农业生物重要性状形成与环境适应性基础研究”重点</w:t>
      </w:r>
      <w:proofErr w:type="gramStart"/>
      <w:r w:rsidRPr="0054612D">
        <w:rPr>
          <w:rFonts w:ascii="仿宋_GB2312" w:eastAsia="仿宋_GB2312" w:hint="eastAsia"/>
          <w:sz w:val="32"/>
          <w:szCs w:val="32"/>
        </w:rPr>
        <w:t>专项等</w:t>
      </w:r>
      <w:proofErr w:type="gramEnd"/>
      <w:r w:rsidRPr="0054612D">
        <w:rPr>
          <w:rFonts w:ascii="仿宋_GB2312" w:eastAsia="仿宋_GB2312" w:hint="eastAsia"/>
          <w:sz w:val="32"/>
          <w:szCs w:val="32"/>
        </w:rPr>
        <w:t>基础研究任务外，其他专项中技术体系清晰、定量考核指标明确的相关任务方向，“十四五”重点研发计划探索实行技术就绪度管理。相关申报指南中将明确技术就绪度要求，并在后续的评审立项、考核评估中纳入技术就绪度指标，科学设定里程碑考核节点，严格把控项目实施进展和风险，确保成果高质量产出。其他技术开发类项目鼓励积极开展探索。</w:t>
      </w:r>
    </w:p>
    <w:p w:rsidR="0054612D" w:rsidRPr="009D7169" w:rsidRDefault="0054612D" w:rsidP="00637B5C">
      <w:pPr>
        <w:ind w:firstLineChars="200" w:firstLine="640"/>
        <w:rPr>
          <w:rFonts w:ascii="Calibri" w:eastAsia="黑体" w:hAnsi="Calibri" w:cs="Calibri"/>
          <w:sz w:val="32"/>
          <w:szCs w:val="32"/>
        </w:rPr>
      </w:pPr>
      <w:r w:rsidRPr="009D7169">
        <w:rPr>
          <w:rFonts w:ascii="Calibri" w:eastAsia="黑体" w:hAnsi="Calibri" w:cs="Calibri" w:hint="eastAsia"/>
          <w:sz w:val="32"/>
          <w:szCs w:val="32"/>
        </w:rPr>
        <w:t>五、具体申报方式</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项目申报单位网上填报预申报书的受理时间为：2021年</w:t>
      </w:r>
      <w:r w:rsidRPr="0054612D">
        <w:rPr>
          <w:rFonts w:ascii="仿宋_GB2312" w:eastAsia="仿宋_GB2312" w:hint="eastAsia"/>
          <w:sz w:val="32"/>
          <w:szCs w:val="32"/>
        </w:rPr>
        <w:lastRenderedPageBreak/>
        <w:t>6月4日8:00至7月8日16:00。进入答辩评审环节的申报项目，由申报单位按要求填报正式申报书，并通过国科管系统提交，具体时间和有关要求另行通知。</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2.组织推荐。请各推荐单位于2021年7月15日16:00前通过国科管系统逐项确认推荐项目，并将加盖推荐单位公章的</w:t>
      </w:r>
      <w:proofErr w:type="gramStart"/>
      <w:r w:rsidRPr="0054612D">
        <w:rPr>
          <w:rFonts w:ascii="仿宋_GB2312" w:eastAsia="仿宋_GB2312" w:hint="eastAsia"/>
          <w:sz w:val="32"/>
          <w:szCs w:val="32"/>
        </w:rPr>
        <w:t>推荐函以电子扫描</w:t>
      </w:r>
      <w:proofErr w:type="gramEnd"/>
      <w:r w:rsidRPr="0054612D">
        <w:rPr>
          <w:rFonts w:ascii="仿宋_GB2312" w:eastAsia="仿宋_GB2312" w:hint="eastAsia"/>
          <w:sz w:val="32"/>
          <w:szCs w:val="32"/>
        </w:rPr>
        <w:t>件上传。</w:t>
      </w:r>
    </w:p>
    <w:p w:rsidR="0054612D" w:rsidRPr="0054612D" w:rsidRDefault="0054612D" w:rsidP="00637B5C">
      <w:pPr>
        <w:ind w:firstLineChars="200" w:firstLine="640"/>
        <w:rPr>
          <w:rFonts w:ascii="仿宋_GB2312" w:eastAsia="仿宋_GB2312"/>
          <w:sz w:val="32"/>
          <w:szCs w:val="32"/>
        </w:rPr>
      </w:pPr>
      <w:r w:rsidRPr="0054612D">
        <w:rPr>
          <w:rFonts w:ascii="仿宋_GB2312" w:eastAsia="仿宋_GB2312" w:hint="eastAsia"/>
          <w:sz w:val="32"/>
          <w:szCs w:val="32"/>
        </w:rPr>
        <w:t>3.技术咨询电话及邮箱：</w:t>
      </w:r>
    </w:p>
    <w:p w:rsidR="0054612D" w:rsidRPr="0054612D" w:rsidRDefault="0054612D" w:rsidP="0054612D">
      <w:pPr>
        <w:rPr>
          <w:rFonts w:ascii="仿宋_GB2312" w:eastAsia="仿宋_GB2312"/>
          <w:sz w:val="32"/>
          <w:szCs w:val="32"/>
        </w:rPr>
      </w:pPr>
      <w:r w:rsidRPr="0054612D">
        <w:rPr>
          <w:rFonts w:ascii="仿宋_GB2312" w:eastAsia="仿宋_GB2312" w:hint="eastAsia"/>
          <w:sz w:val="32"/>
          <w:szCs w:val="32"/>
        </w:rPr>
        <w:t> </w:t>
      </w:r>
      <w:r w:rsidRPr="0054612D">
        <w:rPr>
          <w:rFonts w:ascii="仿宋_GB2312" w:eastAsia="仿宋_GB2312" w:hint="eastAsia"/>
          <w:sz w:val="32"/>
          <w:szCs w:val="32"/>
        </w:rPr>
        <w:t xml:space="preserve"> </w:t>
      </w:r>
      <w:r w:rsidRPr="0054612D">
        <w:rPr>
          <w:rFonts w:ascii="仿宋_GB2312" w:eastAsia="仿宋_GB2312" w:hint="eastAsia"/>
          <w:sz w:val="32"/>
          <w:szCs w:val="32"/>
        </w:rPr>
        <w:t> </w:t>
      </w:r>
      <w:r w:rsidRPr="0054612D">
        <w:rPr>
          <w:rFonts w:ascii="仿宋_GB2312" w:eastAsia="仿宋_GB2312" w:hint="eastAsia"/>
          <w:sz w:val="32"/>
          <w:szCs w:val="32"/>
        </w:rPr>
        <w:t>010-58882999（中继线），program@istic.ac.cn</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 </w:t>
      </w:r>
      <w:r>
        <w:rPr>
          <w:rFonts w:ascii="仿宋_GB2312" w:eastAsia="仿宋_GB2312" w:hint="eastAsia"/>
          <w:sz w:val="32"/>
          <w:szCs w:val="32"/>
        </w:rPr>
        <w:t>4.</w:t>
      </w:r>
      <w:r w:rsidRPr="0054612D">
        <w:rPr>
          <w:rFonts w:ascii="仿宋_GB2312" w:eastAsia="仿宋_GB2312" w:hint="eastAsia"/>
          <w:sz w:val="32"/>
          <w:szCs w:val="32"/>
        </w:rPr>
        <w:t>业务咨询电话：</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（1）“农业生物重要性状形成与环境适应性基础研究”重点专项咨询电话：010-68598087</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（2）“农业生物种质资源挖掘与创新利用”重点专项咨询电话：010-68598087</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（3）“北方干旱半干旱与南方红黄壤等中低产田能力提升科技创新”重点专项咨询电话：010-59199375</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（4）“黑土地保护与利用科技创新”重点专项咨询电话：010-68598074</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（5）“农业面源、重金属污染防控和绿色投入品研发”重点专项咨询电话：010-59199368</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（6）“重大病虫害防控综合技术研发与示范”重点专项咨询电话：010-59199380</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（7）“畜禽新品种培育与现代牧场科技创新”重点专项</w:t>
      </w:r>
      <w:r w:rsidRPr="0054612D">
        <w:rPr>
          <w:rFonts w:ascii="仿宋_GB2312" w:eastAsia="仿宋_GB2312" w:hint="eastAsia"/>
          <w:sz w:val="32"/>
          <w:szCs w:val="32"/>
        </w:rPr>
        <w:lastRenderedPageBreak/>
        <w:t>咨询电话：010-68598497</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（8）“动物疫病综合防控关键技术研发与应用”重点专项咨询电话：010-59199381</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（9）“林业种质资源培育与质量提升”重点专项咨询电话：010-68598076</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（10）“工厂化农业关键技术与智能农机装备”重点专项咨询电话：010-68511832</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（11）“食品制造与农产品物流科技支撑”重点专项咨询电话：010-68510207</w:t>
      </w:r>
    </w:p>
    <w:p w:rsidR="0054612D" w:rsidRPr="0054612D" w:rsidRDefault="0054612D" w:rsidP="0054612D">
      <w:pPr>
        <w:ind w:firstLineChars="200" w:firstLine="640"/>
        <w:rPr>
          <w:rFonts w:ascii="仿宋_GB2312" w:eastAsia="仿宋_GB2312"/>
          <w:sz w:val="32"/>
          <w:szCs w:val="32"/>
        </w:rPr>
      </w:pPr>
      <w:r w:rsidRPr="0054612D">
        <w:rPr>
          <w:rFonts w:ascii="仿宋_GB2312" w:eastAsia="仿宋_GB2312" w:hint="eastAsia"/>
          <w:sz w:val="32"/>
          <w:szCs w:val="32"/>
        </w:rPr>
        <w:t>（12）“乡村产业共性关键技术研发与集成应用”重点专项咨询电话：010-68598200</w:t>
      </w:r>
    </w:p>
    <w:p w:rsidR="007B315E" w:rsidRPr="0054612D" w:rsidRDefault="007B315E" w:rsidP="0054612D">
      <w:pPr>
        <w:rPr>
          <w:rFonts w:ascii="仿宋_GB2312" w:eastAsia="仿宋_GB2312"/>
          <w:sz w:val="32"/>
          <w:szCs w:val="32"/>
        </w:rPr>
      </w:pPr>
    </w:p>
    <w:sectPr w:rsidR="007B315E" w:rsidRPr="00546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2D"/>
    <w:rsid w:val="00021058"/>
    <w:rsid w:val="0004218C"/>
    <w:rsid w:val="00046459"/>
    <w:rsid w:val="00094A38"/>
    <w:rsid w:val="000B234F"/>
    <w:rsid w:val="000E24E0"/>
    <w:rsid w:val="000E54C2"/>
    <w:rsid w:val="00102B7C"/>
    <w:rsid w:val="00166926"/>
    <w:rsid w:val="001731A8"/>
    <w:rsid w:val="001F5593"/>
    <w:rsid w:val="002B2415"/>
    <w:rsid w:val="002C775B"/>
    <w:rsid w:val="002F0A1C"/>
    <w:rsid w:val="002F70DB"/>
    <w:rsid w:val="003013FB"/>
    <w:rsid w:val="00363A18"/>
    <w:rsid w:val="003860AB"/>
    <w:rsid w:val="003B7650"/>
    <w:rsid w:val="004761F8"/>
    <w:rsid w:val="00484912"/>
    <w:rsid w:val="00495AA6"/>
    <w:rsid w:val="004A30FE"/>
    <w:rsid w:val="004B58D8"/>
    <w:rsid w:val="00531C28"/>
    <w:rsid w:val="0054612D"/>
    <w:rsid w:val="005471EC"/>
    <w:rsid w:val="00580673"/>
    <w:rsid w:val="00583B7D"/>
    <w:rsid w:val="005977F9"/>
    <w:rsid w:val="005A2942"/>
    <w:rsid w:val="005B6AC7"/>
    <w:rsid w:val="005E2317"/>
    <w:rsid w:val="00602BF2"/>
    <w:rsid w:val="00612801"/>
    <w:rsid w:val="00624440"/>
    <w:rsid w:val="00637B5C"/>
    <w:rsid w:val="00673FAA"/>
    <w:rsid w:val="006D1301"/>
    <w:rsid w:val="00701397"/>
    <w:rsid w:val="0070296E"/>
    <w:rsid w:val="00756850"/>
    <w:rsid w:val="007831C4"/>
    <w:rsid w:val="007B315E"/>
    <w:rsid w:val="007F78DE"/>
    <w:rsid w:val="008309DC"/>
    <w:rsid w:val="0085647E"/>
    <w:rsid w:val="00856516"/>
    <w:rsid w:val="008C4B1A"/>
    <w:rsid w:val="008D7A49"/>
    <w:rsid w:val="00965B10"/>
    <w:rsid w:val="00991694"/>
    <w:rsid w:val="009A6517"/>
    <w:rsid w:val="009D7169"/>
    <w:rsid w:val="009F1067"/>
    <w:rsid w:val="00AA6D66"/>
    <w:rsid w:val="00AB7CBD"/>
    <w:rsid w:val="00AD6B49"/>
    <w:rsid w:val="00B0570E"/>
    <w:rsid w:val="00B131BA"/>
    <w:rsid w:val="00B44B6B"/>
    <w:rsid w:val="00B7016D"/>
    <w:rsid w:val="00B86076"/>
    <w:rsid w:val="00B97452"/>
    <w:rsid w:val="00BC4063"/>
    <w:rsid w:val="00BF7498"/>
    <w:rsid w:val="00C14137"/>
    <w:rsid w:val="00C34A33"/>
    <w:rsid w:val="00C4341C"/>
    <w:rsid w:val="00CC0223"/>
    <w:rsid w:val="00D04371"/>
    <w:rsid w:val="00D367D9"/>
    <w:rsid w:val="00D5408C"/>
    <w:rsid w:val="00D67FB6"/>
    <w:rsid w:val="00D83485"/>
    <w:rsid w:val="00DF47A1"/>
    <w:rsid w:val="00E02AB9"/>
    <w:rsid w:val="00E078E6"/>
    <w:rsid w:val="00E70085"/>
    <w:rsid w:val="00EC1F21"/>
    <w:rsid w:val="00F21F4E"/>
    <w:rsid w:val="00F50511"/>
    <w:rsid w:val="00FA1C18"/>
    <w:rsid w:val="00FA2880"/>
    <w:rsid w:val="00FA334E"/>
    <w:rsid w:val="00FC1F5F"/>
    <w:rsid w:val="00FE285C"/>
    <w:rsid w:val="00FE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0E1A0-8FDE-44BE-A6FA-88CD5BFC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83661">
      <w:bodyDiv w:val="1"/>
      <w:marLeft w:val="0"/>
      <w:marRight w:val="0"/>
      <w:marTop w:val="0"/>
      <w:marBottom w:val="0"/>
      <w:divBdr>
        <w:top w:val="none" w:sz="0" w:space="0" w:color="auto"/>
        <w:left w:val="none" w:sz="0" w:space="0" w:color="auto"/>
        <w:bottom w:val="none" w:sz="0" w:space="0" w:color="auto"/>
        <w:right w:val="none" w:sz="0" w:space="0" w:color="auto"/>
      </w:divBdr>
      <w:divsChild>
        <w:div w:id="1832673641">
          <w:marLeft w:val="0"/>
          <w:marRight w:val="0"/>
          <w:marTop w:val="0"/>
          <w:marBottom w:val="300"/>
          <w:divBdr>
            <w:top w:val="none" w:sz="0" w:space="0" w:color="auto"/>
            <w:left w:val="none" w:sz="0" w:space="0" w:color="auto"/>
            <w:bottom w:val="dashed" w:sz="6" w:space="0" w:color="999999"/>
            <w:right w:val="none" w:sz="0" w:space="0" w:color="auto"/>
          </w:divBdr>
        </w:div>
        <w:div w:id="1958175332">
          <w:marLeft w:val="0"/>
          <w:marRight w:val="0"/>
          <w:marTop w:val="0"/>
          <w:marBottom w:val="0"/>
          <w:divBdr>
            <w:top w:val="none" w:sz="0" w:space="0" w:color="auto"/>
            <w:left w:val="none" w:sz="0" w:space="0" w:color="auto"/>
            <w:bottom w:val="none" w:sz="0" w:space="0" w:color="auto"/>
            <w:right w:val="none" w:sz="0" w:space="0" w:color="auto"/>
          </w:divBdr>
          <w:divsChild>
            <w:div w:id="484778481">
              <w:marLeft w:val="0"/>
              <w:marRight w:val="0"/>
              <w:marTop w:val="0"/>
              <w:marBottom w:val="0"/>
              <w:divBdr>
                <w:top w:val="none" w:sz="0" w:space="0" w:color="auto"/>
                <w:left w:val="none" w:sz="0" w:space="0" w:color="auto"/>
                <w:bottom w:val="none" w:sz="0" w:space="0" w:color="auto"/>
                <w:right w:val="none" w:sz="0" w:space="0" w:color="auto"/>
              </w:divBdr>
            </w:div>
            <w:div w:id="664356280">
              <w:marLeft w:val="0"/>
              <w:marRight w:val="0"/>
              <w:marTop w:val="0"/>
              <w:marBottom w:val="0"/>
              <w:divBdr>
                <w:top w:val="none" w:sz="0" w:space="0" w:color="auto"/>
                <w:left w:val="none" w:sz="0" w:space="0" w:color="auto"/>
                <w:bottom w:val="none" w:sz="0" w:space="0" w:color="auto"/>
                <w:right w:val="none" w:sz="0" w:space="0" w:color="auto"/>
              </w:divBdr>
            </w:div>
            <w:div w:id="1371996635">
              <w:marLeft w:val="0"/>
              <w:marRight w:val="0"/>
              <w:marTop w:val="0"/>
              <w:marBottom w:val="0"/>
              <w:divBdr>
                <w:top w:val="none" w:sz="0" w:space="0" w:color="auto"/>
                <w:left w:val="none" w:sz="0" w:space="0" w:color="auto"/>
                <w:bottom w:val="none" w:sz="0" w:space="0" w:color="auto"/>
                <w:right w:val="none" w:sz="0" w:space="0" w:color="auto"/>
              </w:divBdr>
            </w:div>
            <w:div w:id="671107996">
              <w:marLeft w:val="0"/>
              <w:marRight w:val="0"/>
              <w:marTop w:val="0"/>
              <w:marBottom w:val="0"/>
              <w:divBdr>
                <w:top w:val="none" w:sz="0" w:space="0" w:color="auto"/>
                <w:left w:val="none" w:sz="0" w:space="0" w:color="auto"/>
                <w:bottom w:val="none" w:sz="0" w:space="0" w:color="auto"/>
                <w:right w:val="none" w:sz="0" w:space="0" w:color="auto"/>
              </w:divBdr>
            </w:div>
            <w:div w:id="825441383">
              <w:marLeft w:val="0"/>
              <w:marRight w:val="0"/>
              <w:marTop w:val="0"/>
              <w:marBottom w:val="0"/>
              <w:divBdr>
                <w:top w:val="none" w:sz="0" w:space="0" w:color="auto"/>
                <w:left w:val="none" w:sz="0" w:space="0" w:color="auto"/>
                <w:bottom w:val="none" w:sz="0" w:space="0" w:color="auto"/>
                <w:right w:val="none" w:sz="0" w:space="0" w:color="auto"/>
              </w:divBdr>
            </w:div>
            <w:div w:id="1651910045">
              <w:marLeft w:val="0"/>
              <w:marRight w:val="0"/>
              <w:marTop w:val="0"/>
              <w:marBottom w:val="0"/>
              <w:divBdr>
                <w:top w:val="none" w:sz="0" w:space="0" w:color="auto"/>
                <w:left w:val="none" w:sz="0" w:space="0" w:color="auto"/>
                <w:bottom w:val="none" w:sz="0" w:space="0" w:color="auto"/>
                <w:right w:val="none" w:sz="0" w:space="0" w:color="auto"/>
              </w:divBdr>
            </w:div>
            <w:div w:id="2130779411">
              <w:marLeft w:val="0"/>
              <w:marRight w:val="0"/>
              <w:marTop w:val="0"/>
              <w:marBottom w:val="0"/>
              <w:divBdr>
                <w:top w:val="none" w:sz="0" w:space="0" w:color="auto"/>
                <w:left w:val="none" w:sz="0" w:space="0" w:color="auto"/>
                <w:bottom w:val="none" w:sz="0" w:space="0" w:color="auto"/>
                <w:right w:val="none" w:sz="0" w:space="0" w:color="auto"/>
              </w:divBdr>
            </w:div>
            <w:div w:id="1955162748">
              <w:marLeft w:val="0"/>
              <w:marRight w:val="0"/>
              <w:marTop w:val="0"/>
              <w:marBottom w:val="0"/>
              <w:divBdr>
                <w:top w:val="none" w:sz="0" w:space="0" w:color="auto"/>
                <w:left w:val="none" w:sz="0" w:space="0" w:color="auto"/>
                <w:bottom w:val="none" w:sz="0" w:space="0" w:color="auto"/>
                <w:right w:val="none" w:sz="0" w:space="0" w:color="auto"/>
              </w:divBdr>
            </w:div>
            <w:div w:id="1180389907">
              <w:marLeft w:val="0"/>
              <w:marRight w:val="0"/>
              <w:marTop w:val="0"/>
              <w:marBottom w:val="0"/>
              <w:divBdr>
                <w:top w:val="none" w:sz="0" w:space="0" w:color="auto"/>
                <w:left w:val="none" w:sz="0" w:space="0" w:color="auto"/>
                <w:bottom w:val="none" w:sz="0" w:space="0" w:color="auto"/>
                <w:right w:val="none" w:sz="0" w:space="0" w:color="auto"/>
              </w:divBdr>
            </w:div>
            <w:div w:id="1292323639">
              <w:marLeft w:val="0"/>
              <w:marRight w:val="0"/>
              <w:marTop w:val="0"/>
              <w:marBottom w:val="0"/>
              <w:divBdr>
                <w:top w:val="none" w:sz="0" w:space="0" w:color="auto"/>
                <w:left w:val="none" w:sz="0" w:space="0" w:color="auto"/>
                <w:bottom w:val="none" w:sz="0" w:space="0" w:color="auto"/>
                <w:right w:val="none" w:sz="0" w:space="0" w:color="auto"/>
              </w:divBdr>
            </w:div>
            <w:div w:id="615137084">
              <w:marLeft w:val="0"/>
              <w:marRight w:val="0"/>
              <w:marTop w:val="0"/>
              <w:marBottom w:val="0"/>
              <w:divBdr>
                <w:top w:val="none" w:sz="0" w:space="0" w:color="auto"/>
                <w:left w:val="none" w:sz="0" w:space="0" w:color="auto"/>
                <w:bottom w:val="none" w:sz="0" w:space="0" w:color="auto"/>
                <w:right w:val="none" w:sz="0" w:space="0" w:color="auto"/>
              </w:divBdr>
            </w:div>
            <w:div w:id="1907261088">
              <w:marLeft w:val="0"/>
              <w:marRight w:val="0"/>
              <w:marTop w:val="0"/>
              <w:marBottom w:val="0"/>
              <w:divBdr>
                <w:top w:val="none" w:sz="0" w:space="0" w:color="auto"/>
                <w:left w:val="none" w:sz="0" w:space="0" w:color="auto"/>
                <w:bottom w:val="none" w:sz="0" w:space="0" w:color="auto"/>
                <w:right w:val="none" w:sz="0" w:space="0" w:color="auto"/>
              </w:divBdr>
            </w:div>
            <w:div w:id="1592660739">
              <w:marLeft w:val="0"/>
              <w:marRight w:val="0"/>
              <w:marTop w:val="0"/>
              <w:marBottom w:val="0"/>
              <w:divBdr>
                <w:top w:val="none" w:sz="0" w:space="0" w:color="auto"/>
                <w:left w:val="none" w:sz="0" w:space="0" w:color="auto"/>
                <w:bottom w:val="none" w:sz="0" w:space="0" w:color="auto"/>
                <w:right w:val="none" w:sz="0" w:space="0" w:color="auto"/>
              </w:divBdr>
            </w:div>
            <w:div w:id="1742941887">
              <w:marLeft w:val="0"/>
              <w:marRight w:val="0"/>
              <w:marTop w:val="0"/>
              <w:marBottom w:val="0"/>
              <w:divBdr>
                <w:top w:val="none" w:sz="0" w:space="0" w:color="auto"/>
                <w:left w:val="none" w:sz="0" w:space="0" w:color="auto"/>
                <w:bottom w:val="none" w:sz="0" w:space="0" w:color="auto"/>
                <w:right w:val="none" w:sz="0" w:space="0" w:color="auto"/>
              </w:divBdr>
            </w:div>
            <w:div w:id="1828394806">
              <w:marLeft w:val="0"/>
              <w:marRight w:val="0"/>
              <w:marTop w:val="0"/>
              <w:marBottom w:val="0"/>
              <w:divBdr>
                <w:top w:val="none" w:sz="0" w:space="0" w:color="auto"/>
                <w:left w:val="none" w:sz="0" w:space="0" w:color="auto"/>
                <w:bottom w:val="none" w:sz="0" w:space="0" w:color="auto"/>
                <w:right w:val="none" w:sz="0" w:space="0" w:color="auto"/>
              </w:divBdr>
            </w:div>
            <w:div w:id="177892205">
              <w:marLeft w:val="0"/>
              <w:marRight w:val="0"/>
              <w:marTop w:val="0"/>
              <w:marBottom w:val="0"/>
              <w:divBdr>
                <w:top w:val="none" w:sz="0" w:space="0" w:color="auto"/>
                <w:left w:val="none" w:sz="0" w:space="0" w:color="auto"/>
                <w:bottom w:val="none" w:sz="0" w:space="0" w:color="auto"/>
                <w:right w:val="none" w:sz="0" w:space="0" w:color="auto"/>
              </w:divBdr>
            </w:div>
            <w:div w:id="1548645414">
              <w:marLeft w:val="0"/>
              <w:marRight w:val="0"/>
              <w:marTop w:val="0"/>
              <w:marBottom w:val="0"/>
              <w:divBdr>
                <w:top w:val="none" w:sz="0" w:space="0" w:color="auto"/>
                <w:left w:val="none" w:sz="0" w:space="0" w:color="auto"/>
                <w:bottom w:val="none" w:sz="0" w:space="0" w:color="auto"/>
                <w:right w:val="none" w:sz="0" w:space="0" w:color="auto"/>
              </w:divBdr>
            </w:div>
            <w:div w:id="6293945">
              <w:marLeft w:val="0"/>
              <w:marRight w:val="0"/>
              <w:marTop w:val="0"/>
              <w:marBottom w:val="0"/>
              <w:divBdr>
                <w:top w:val="none" w:sz="0" w:space="0" w:color="auto"/>
                <w:left w:val="none" w:sz="0" w:space="0" w:color="auto"/>
                <w:bottom w:val="none" w:sz="0" w:space="0" w:color="auto"/>
                <w:right w:val="none" w:sz="0" w:space="0" w:color="auto"/>
              </w:divBdr>
            </w:div>
            <w:div w:id="151994256">
              <w:marLeft w:val="0"/>
              <w:marRight w:val="0"/>
              <w:marTop w:val="0"/>
              <w:marBottom w:val="0"/>
              <w:divBdr>
                <w:top w:val="none" w:sz="0" w:space="0" w:color="auto"/>
                <w:left w:val="none" w:sz="0" w:space="0" w:color="auto"/>
                <w:bottom w:val="none" w:sz="0" w:space="0" w:color="auto"/>
                <w:right w:val="none" w:sz="0" w:space="0" w:color="auto"/>
              </w:divBdr>
            </w:div>
            <w:div w:id="21134041">
              <w:marLeft w:val="0"/>
              <w:marRight w:val="0"/>
              <w:marTop w:val="0"/>
              <w:marBottom w:val="0"/>
              <w:divBdr>
                <w:top w:val="none" w:sz="0" w:space="0" w:color="auto"/>
                <w:left w:val="none" w:sz="0" w:space="0" w:color="auto"/>
                <w:bottom w:val="none" w:sz="0" w:space="0" w:color="auto"/>
                <w:right w:val="none" w:sz="0" w:space="0" w:color="auto"/>
              </w:divBdr>
            </w:div>
            <w:div w:id="2111928569">
              <w:marLeft w:val="0"/>
              <w:marRight w:val="0"/>
              <w:marTop w:val="0"/>
              <w:marBottom w:val="0"/>
              <w:divBdr>
                <w:top w:val="none" w:sz="0" w:space="0" w:color="auto"/>
                <w:left w:val="none" w:sz="0" w:space="0" w:color="auto"/>
                <w:bottom w:val="none" w:sz="0" w:space="0" w:color="auto"/>
                <w:right w:val="none" w:sz="0" w:space="0" w:color="auto"/>
              </w:divBdr>
            </w:div>
            <w:div w:id="138613391">
              <w:marLeft w:val="0"/>
              <w:marRight w:val="0"/>
              <w:marTop w:val="0"/>
              <w:marBottom w:val="0"/>
              <w:divBdr>
                <w:top w:val="none" w:sz="0" w:space="0" w:color="auto"/>
                <w:left w:val="none" w:sz="0" w:space="0" w:color="auto"/>
                <w:bottom w:val="none" w:sz="0" w:space="0" w:color="auto"/>
                <w:right w:val="none" w:sz="0" w:space="0" w:color="auto"/>
              </w:divBdr>
            </w:div>
            <w:div w:id="2044282095">
              <w:marLeft w:val="0"/>
              <w:marRight w:val="0"/>
              <w:marTop w:val="0"/>
              <w:marBottom w:val="0"/>
              <w:divBdr>
                <w:top w:val="none" w:sz="0" w:space="0" w:color="auto"/>
                <w:left w:val="none" w:sz="0" w:space="0" w:color="auto"/>
                <w:bottom w:val="none" w:sz="0" w:space="0" w:color="auto"/>
                <w:right w:val="none" w:sz="0" w:space="0" w:color="auto"/>
              </w:divBdr>
            </w:div>
            <w:div w:id="380247723">
              <w:marLeft w:val="0"/>
              <w:marRight w:val="0"/>
              <w:marTop w:val="0"/>
              <w:marBottom w:val="0"/>
              <w:divBdr>
                <w:top w:val="none" w:sz="0" w:space="0" w:color="auto"/>
                <w:left w:val="none" w:sz="0" w:space="0" w:color="auto"/>
                <w:bottom w:val="none" w:sz="0" w:space="0" w:color="auto"/>
                <w:right w:val="none" w:sz="0" w:space="0" w:color="auto"/>
              </w:divBdr>
            </w:div>
            <w:div w:id="702098000">
              <w:marLeft w:val="0"/>
              <w:marRight w:val="0"/>
              <w:marTop w:val="0"/>
              <w:marBottom w:val="0"/>
              <w:divBdr>
                <w:top w:val="none" w:sz="0" w:space="0" w:color="auto"/>
                <w:left w:val="none" w:sz="0" w:space="0" w:color="auto"/>
                <w:bottom w:val="none" w:sz="0" w:space="0" w:color="auto"/>
                <w:right w:val="none" w:sz="0" w:space="0" w:color="auto"/>
              </w:divBdr>
            </w:div>
            <w:div w:id="1185746402">
              <w:marLeft w:val="0"/>
              <w:marRight w:val="0"/>
              <w:marTop w:val="0"/>
              <w:marBottom w:val="0"/>
              <w:divBdr>
                <w:top w:val="none" w:sz="0" w:space="0" w:color="auto"/>
                <w:left w:val="none" w:sz="0" w:space="0" w:color="auto"/>
                <w:bottom w:val="none" w:sz="0" w:space="0" w:color="auto"/>
                <w:right w:val="none" w:sz="0" w:space="0" w:color="auto"/>
              </w:divBdr>
            </w:div>
            <w:div w:id="736168720">
              <w:marLeft w:val="0"/>
              <w:marRight w:val="0"/>
              <w:marTop w:val="0"/>
              <w:marBottom w:val="0"/>
              <w:divBdr>
                <w:top w:val="none" w:sz="0" w:space="0" w:color="auto"/>
                <w:left w:val="none" w:sz="0" w:space="0" w:color="auto"/>
                <w:bottom w:val="none" w:sz="0" w:space="0" w:color="auto"/>
                <w:right w:val="none" w:sz="0" w:space="0" w:color="auto"/>
              </w:divBdr>
            </w:div>
            <w:div w:id="2096396312">
              <w:marLeft w:val="0"/>
              <w:marRight w:val="0"/>
              <w:marTop w:val="0"/>
              <w:marBottom w:val="0"/>
              <w:divBdr>
                <w:top w:val="none" w:sz="0" w:space="0" w:color="auto"/>
                <w:left w:val="none" w:sz="0" w:space="0" w:color="auto"/>
                <w:bottom w:val="none" w:sz="0" w:space="0" w:color="auto"/>
                <w:right w:val="none" w:sz="0" w:space="0" w:color="auto"/>
              </w:divBdr>
            </w:div>
            <w:div w:id="1806466219">
              <w:marLeft w:val="0"/>
              <w:marRight w:val="0"/>
              <w:marTop w:val="0"/>
              <w:marBottom w:val="0"/>
              <w:divBdr>
                <w:top w:val="none" w:sz="0" w:space="0" w:color="auto"/>
                <w:left w:val="none" w:sz="0" w:space="0" w:color="auto"/>
                <w:bottom w:val="none" w:sz="0" w:space="0" w:color="auto"/>
                <w:right w:val="none" w:sz="0" w:space="0" w:color="auto"/>
              </w:divBdr>
            </w:div>
            <w:div w:id="1647079571">
              <w:marLeft w:val="0"/>
              <w:marRight w:val="0"/>
              <w:marTop w:val="0"/>
              <w:marBottom w:val="0"/>
              <w:divBdr>
                <w:top w:val="none" w:sz="0" w:space="0" w:color="auto"/>
                <w:left w:val="none" w:sz="0" w:space="0" w:color="auto"/>
                <w:bottom w:val="none" w:sz="0" w:space="0" w:color="auto"/>
                <w:right w:val="none" w:sz="0" w:space="0" w:color="auto"/>
              </w:divBdr>
            </w:div>
            <w:div w:id="1341200021">
              <w:marLeft w:val="0"/>
              <w:marRight w:val="0"/>
              <w:marTop w:val="0"/>
              <w:marBottom w:val="0"/>
              <w:divBdr>
                <w:top w:val="none" w:sz="0" w:space="0" w:color="auto"/>
                <w:left w:val="none" w:sz="0" w:space="0" w:color="auto"/>
                <w:bottom w:val="none" w:sz="0" w:space="0" w:color="auto"/>
                <w:right w:val="none" w:sz="0" w:space="0" w:color="auto"/>
              </w:divBdr>
            </w:div>
            <w:div w:id="1586957758">
              <w:marLeft w:val="0"/>
              <w:marRight w:val="0"/>
              <w:marTop w:val="0"/>
              <w:marBottom w:val="0"/>
              <w:divBdr>
                <w:top w:val="none" w:sz="0" w:space="0" w:color="auto"/>
                <w:left w:val="none" w:sz="0" w:space="0" w:color="auto"/>
                <w:bottom w:val="none" w:sz="0" w:space="0" w:color="auto"/>
                <w:right w:val="none" w:sz="0" w:space="0" w:color="auto"/>
              </w:divBdr>
            </w:div>
            <w:div w:id="1201749921">
              <w:marLeft w:val="0"/>
              <w:marRight w:val="0"/>
              <w:marTop w:val="0"/>
              <w:marBottom w:val="0"/>
              <w:divBdr>
                <w:top w:val="none" w:sz="0" w:space="0" w:color="auto"/>
                <w:left w:val="none" w:sz="0" w:space="0" w:color="auto"/>
                <w:bottom w:val="none" w:sz="0" w:space="0" w:color="auto"/>
                <w:right w:val="none" w:sz="0" w:space="0" w:color="auto"/>
              </w:divBdr>
            </w:div>
            <w:div w:id="806317348">
              <w:marLeft w:val="0"/>
              <w:marRight w:val="0"/>
              <w:marTop w:val="0"/>
              <w:marBottom w:val="0"/>
              <w:divBdr>
                <w:top w:val="none" w:sz="0" w:space="0" w:color="auto"/>
                <w:left w:val="none" w:sz="0" w:space="0" w:color="auto"/>
                <w:bottom w:val="none" w:sz="0" w:space="0" w:color="auto"/>
                <w:right w:val="none" w:sz="0" w:space="0" w:color="auto"/>
              </w:divBdr>
            </w:div>
            <w:div w:id="479732874">
              <w:marLeft w:val="0"/>
              <w:marRight w:val="0"/>
              <w:marTop w:val="0"/>
              <w:marBottom w:val="0"/>
              <w:divBdr>
                <w:top w:val="none" w:sz="0" w:space="0" w:color="auto"/>
                <w:left w:val="none" w:sz="0" w:space="0" w:color="auto"/>
                <w:bottom w:val="none" w:sz="0" w:space="0" w:color="auto"/>
                <w:right w:val="none" w:sz="0" w:space="0" w:color="auto"/>
              </w:divBdr>
            </w:div>
            <w:div w:id="1259607023">
              <w:marLeft w:val="0"/>
              <w:marRight w:val="0"/>
              <w:marTop w:val="0"/>
              <w:marBottom w:val="0"/>
              <w:divBdr>
                <w:top w:val="none" w:sz="0" w:space="0" w:color="auto"/>
                <w:left w:val="none" w:sz="0" w:space="0" w:color="auto"/>
                <w:bottom w:val="none" w:sz="0" w:space="0" w:color="auto"/>
                <w:right w:val="none" w:sz="0" w:space="0" w:color="auto"/>
              </w:divBdr>
            </w:div>
            <w:div w:id="1125850121">
              <w:marLeft w:val="0"/>
              <w:marRight w:val="0"/>
              <w:marTop w:val="0"/>
              <w:marBottom w:val="0"/>
              <w:divBdr>
                <w:top w:val="none" w:sz="0" w:space="0" w:color="auto"/>
                <w:left w:val="none" w:sz="0" w:space="0" w:color="auto"/>
                <w:bottom w:val="none" w:sz="0" w:space="0" w:color="auto"/>
                <w:right w:val="none" w:sz="0" w:space="0" w:color="auto"/>
              </w:divBdr>
            </w:div>
            <w:div w:id="203297052">
              <w:marLeft w:val="0"/>
              <w:marRight w:val="0"/>
              <w:marTop w:val="0"/>
              <w:marBottom w:val="0"/>
              <w:divBdr>
                <w:top w:val="none" w:sz="0" w:space="0" w:color="auto"/>
                <w:left w:val="none" w:sz="0" w:space="0" w:color="auto"/>
                <w:bottom w:val="none" w:sz="0" w:space="0" w:color="auto"/>
                <w:right w:val="none" w:sz="0" w:space="0" w:color="auto"/>
              </w:divBdr>
            </w:div>
            <w:div w:id="1641033320">
              <w:marLeft w:val="0"/>
              <w:marRight w:val="0"/>
              <w:marTop w:val="0"/>
              <w:marBottom w:val="0"/>
              <w:divBdr>
                <w:top w:val="none" w:sz="0" w:space="0" w:color="auto"/>
                <w:left w:val="none" w:sz="0" w:space="0" w:color="auto"/>
                <w:bottom w:val="none" w:sz="0" w:space="0" w:color="auto"/>
                <w:right w:val="none" w:sz="0" w:space="0" w:color="auto"/>
              </w:divBdr>
            </w:div>
            <w:div w:id="1922912585">
              <w:marLeft w:val="0"/>
              <w:marRight w:val="0"/>
              <w:marTop w:val="0"/>
              <w:marBottom w:val="0"/>
              <w:divBdr>
                <w:top w:val="none" w:sz="0" w:space="0" w:color="auto"/>
                <w:left w:val="none" w:sz="0" w:space="0" w:color="auto"/>
                <w:bottom w:val="none" w:sz="0" w:space="0" w:color="auto"/>
                <w:right w:val="none" w:sz="0" w:space="0" w:color="auto"/>
              </w:divBdr>
            </w:div>
            <w:div w:id="211695071">
              <w:marLeft w:val="0"/>
              <w:marRight w:val="0"/>
              <w:marTop w:val="0"/>
              <w:marBottom w:val="0"/>
              <w:divBdr>
                <w:top w:val="none" w:sz="0" w:space="0" w:color="auto"/>
                <w:left w:val="none" w:sz="0" w:space="0" w:color="auto"/>
                <w:bottom w:val="none" w:sz="0" w:space="0" w:color="auto"/>
                <w:right w:val="none" w:sz="0" w:space="0" w:color="auto"/>
              </w:divBdr>
            </w:div>
            <w:div w:id="1366637062">
              <w:marLeft w:val="0"/>
              <w:marRight w:val="0"/>
              <w:marTop w:val="0"/>
              <w:marBottom w:val="0"/>
              <w:divBdr>
                <w:top w:val="none" w:sz="0" w:space="0" w:color="auto"/>
                <w:left w:val="none" w:sz="0" w:space="0" w:color="auto"/>
                <w:bottom w:val="none" w:sz="0" w:space="0" w:color="auto"/>
                <w:right w:val="none" w:sz="0" w:space="0" w:color="auto"/>
              </w:divBdr>
            </w:div>
            <w:div w:id="241331139">
              <w:marLeft w:val="0"/>
              <w:marRight w:val="0"/>
              <w:marTop w:val="0"/>
              <w:marBottom w:val="0"/>
              <w:divBdr>
                <w:top w:val="none" w:sz="0" w:space="0" w:color="auto"/>
                <w:left w:val="none" w:sz="0" w:space="0" w:color="auto"/>
                <w:bottom w:val="none" w:sz="0" w:space="0" w:color="auto"/>
                <w:right w:val="none" w:sz="0" w:space="0" w:color="auto"/>
              </w:divBdr>
            </w:div>
            <w:div w:id="1383553631">
              <w:marLeft w:val="0"/>
              <w:marRight w:val="0"/>
              <w:marTop w:val="0"/>
              <w:marBottom w:val="0"/>
              <w:divBdr>
                <w:top w:val="none" w:sz="0" w:space="0" w:color="auto"/>
                <w:left w:val="none" w:sz="0" w:space="0" w:color="auto"/>
                <w:bottom w:val="none" w:sz="0" w:space="0" w:color="auto"/>
                <w:right w:val="none" w:sz="0" w:space="0" w:color="auto"/>
              </w:divBdr>
            </w:div>
            <w:div w:id="449517300">
              <w:marLeft w:val="0"/>
              <w:marRight w:val="0"/>
              <w:marTop w:val="0"/>
              <w:marBottom w:val="0"/>
              <w:divBdr>
                <w:top w:val="none" w:sz="0" w:space="0" w:color="auto"/>
                <w:left w:val="none" w:sz="0" w:space="0" w:color="auto"/>
                <w:bottom w:val="none" w:sz="0" w:space="0" w:color="auto"/>
                <w:right w:val="none" w:sz="0" w:space="0" w:color="auto"/>
              </w:divBdr>
            </w:div>
            <w:div w:id="387844274">
              <w:marLeft w:val="0"/>
              <w:marRight w:val="0"/>
              <w:marTop w:val="0"/>
              <w:marBottom w:val="0"/>
              <w:divBdr>
                <w:top w:val="none" w:sz="0" w:space="0" w:color="auto"/>
                <w:left w:val="none" w:sz="0" w:space="0" w:color="auto"/>
                <w:bottom w:val="none" w:sz="0" w:space="0" w:color="auto"/>
                <w:right w:val="none" w:sz="0" w:space="0" w:color="auto"/>
              </w:divBdr>
            </w:div>
            <w:div w:id="290328175">
              <w:marLeft w:val="0"/>
              <w:marRight w:val="0"/>
              <w:marTop w:val="0"/>
              <w:marBottom w:val="0"/>
              <w:divBdr>
                <w:top w:val="none" w:sz="0" w:space="0" w:color="auto"/>
                <w:left w:val="none" w:sz="0" w:space="0" w:color="auto"/>
                <w:bottom w:val="none" w:sz="0" w:space="0" w:color="auto"/>
                <w:right w:val="none" w:sz="0" w:space="0" w:color="auto"/>
              </w:divBdr>
            </w:div>
            <w:div w:id="1153910728">
              <w:marLeft w:val="0"/>
              <w:marRight w:val="0"/>
              <w:marTop w:val="0"/>
              <w:marBottom w:val="0"/>
              <w:divBdr>
                <w:top w:val="none" w:sz="0" w:space="0" w:color="auto"/>
                <w:left w:val="none" w:sz="0" w:space="0" w:color="auto"/>
                <w:bottom w:val="none" w:sz="0" w:space="0" w:color="auto"/>
                <w:right w:val="none" w:sz="0" w:space="0" w:color="auto"/>
              </w:divBdr>
            </w:div>
            <w:div w:id="1462113360">
              <w:marLeft w:val="0"/>
              <w:marRight w:val="0"/>
              <w:marTop w:val="0"/>
              <w:marBottom w:val="0"/>
              <w:divBdr>
                <w:top w:val="none" w:sz="0" w:space="0" w:color="auto"/>
                <w:left w:val="none" w:sz="0" w:space="0" w:color="auto"/>
                <w:bottom w:val="none" w:sz="0" w:space="0" w:color="auto"/>
                <w:right w:val="none" w:sz="0" w:space="0" w:color="auto"/>
              </w:divBdr>
            </w:div>
            <w:div w:id="1570260938">
              <w:marLeft w:val="0"/>
              <w:marRight w:val="0"/>
              <w:marTop w:val="0"/>
              <w:marBottom w:val="0"/>
              <w:divBdr>
                <w:top w:val="none" w:sz="0" w:space="0" w:color="auto"/>
                <w:left w:val="none" w:sz="0" w:space="0" w:color="auto"/>
                <w:bottom w:val="none" w:sz="0" w:space="0" w:color="auto"/>
                <w:right w:val="none" w:sz="0" w:space="0" w:color="auto"/>
              </w:divBdr>
            </w:div>
            <w:div w:id="1084255945">
              <w:marLeft w:val="0"/>
              <w:marRight w:val="0"/>
              <w:marTop w:val="0"/>
              <w:marBottom w:val="0"/>
              <w:divBdr>
                <w:top w:val="none" w:sz="0" w:space="0" w:color="auto"/>
                <w:left w:val="none" w:sz="0" w:space="0" w:color="auto"/>
                <w:bottom w:val="none" w:sz="0" w:space="0" w:color="auto"/>
                <w:right w:val="none" w:sz="0" w:space="0" w:color="auto"/>
              </w:divBdr>
            </w:div>
            <w:div w:id="845753505">
              <w:marLeft w:val="0"/>
              <w:marRight w:val="0"/>
              <w:marTop w:val="0"/>
              <w:marBottom w:val="0"/>
              <w:divBdr>
                <w:top w:val="none" w:sz="0" w:space="0" w:color="auto"/>
                <w:left w:val="none" w:sz="0" w:space="0" w:color="auto"/>
                <w:bottom w:val="none" w:sz="0" w:space="0" w:color="auto"/>
                <w:right w:val="none" w:sz="0" w:space="0" w:color="auto"/>
              </w:divBdr>
            </w:div>
            <w:div w:id="714622209">
              <w:marLeft w:val="0"/>
              <w:marRight w:val="0"/>
              <w:marTop w:val="0"/>
              <w:marBottom w:val="0"/>
              <w:divBdr>
                <w:top w:val="none" w:sz="0" w:space="0" w:color="auto"/>
                <w:left w:val="none" w:sz="0" w:space="0" w:color="auto"/>
                <w:bottom w:val="none" w:sz="0" w:space="0" w:color="auto"/>
                <w:right w:val="none" w:sz="0" w:space="0" w:color="auto"/>
              </w:divBdr>
            </w:div>
            <w:div w:id="1198351011">
              <w:marLeft w:val="0"/>
              <w:marRight w:val="0"/>
              <w:marTop w:val="0"/>
              <w:marBottom w:val="0"/>
              <w:divBdr>
                <w:top w:val="none" w:sz="0" w:space="0" w:color="auto"/>
                <w:left w:val="none" w:sz="0" w:space="0" w:color="auto"/>
                <w:bottom w:val="none" w:sz="0" w:space="0" w:color="auto"/>
                <w:right w:val="none" w:sz="0" w:space="0" w:color="auto"/>
              </w:divBdr>
            </w:div>
            <w:div w:id="869956053">
              <w:marLeft w:val="0"/>
              <w:marRight w:val="0"/>
              <w:marTop w:val="0"/>
              <w:marBottom w:val="0"/>
              <w:divBdr>
                <w:top w:val="none" w:sz="0" w:space="0" w:color="auto"/>
                <w:left w:val="none" w:sz="0" w:space="0" w:color="auto"/>
                <w:bottom w:val="none" w:sz="0" w:space="0" w:color="auto"/>
                <w:right w:val="none" w:sz="0" w:space="0" w:color="auto"/>
              </w:divBdr>
            </w:div>
            <w:div w:id="1169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AutoBVT</cp:lastModifiedBy>
  <cp:revision>4</cp:revision>
  <dcterms:created xsi:type="dcterms:W3CDTF">2021-05-20T01:58:00Z</dcterms:created>
  <dcterms:modified xsi:type="dcterms:W3CDTF">2025-04-09T03:14:00Z</dcterms:modified>
</cp:coreProperties>
</file>