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国家知识产权示范企业复核书</w:t>
      </w:r>
      <w:r>
        <w:rPr>
          <w:rFonts w:hint="eastAsia" w:ascii="楷体_GB2312" w:eastAsia="楷体_GB2312"/>
          <w:sz w:val="36"/>
          <w:szCs w:val="36"/>
        </w:rPr>
        <w:t>（表一）</w:t>
      </w:r>
    </w:p>
    <w:p>
      <w:pPr>
        <w:spacing w:line="300" w:lineRule="exact"/>
        <w:ind w:firstLine="640" w:firstLineChars="200"/>
        <w:rPr>
          <w:rFonts w:ascii="仿宋_GB2312" w:hAnsi="宋体" w:eastAsia="仿宋_GB2312" w:cs="宋体"/>
          <w:sz w:val="32"/>
          <w:szCs w:val="32"/>
        </w:rPr>
      </w:pPr>
    </w:p>
    <w:tbl>
      <w:tblPr>
        <w:tblStyle w:val="35"/>
        <w:tblW w:w="9072" w:type="dxa"/>
        <w:jc w:val="center"/>
        <w:tblInd w:w="0" w:type="dxa"/>
        <w:tblLayout w:type="fixed"/>
        <w:tblCellMar>
          <w:top w:w="0" w:type="dxa"/>
          <w:left w:w="57" w:type="dxa"/>
          <w:bottom w:w="0" w:type="dxa"/>
          <w:right w:w="57" w:type="dxa"/>
        </w:tblCellMar>
      </w:tblPr>
      <w:tblGrid>
        <w:gridCol w:w="617"/>
        <w:gridCol w:w="1765"/>
        <w:gridCol w:w="1176"/>
        <w:gridCol w:w="1106"/>
        <w:gridCol w:w="1092"/>
        <w:gridCol w:w="1133"/>
        <w:gridCol w:w="56"/>
        <w:gridCol w:w="1050"/>
        <w:gridCol w:w="98"/>
        <w:gridCol w:w="979"/>
      </w:tblGrid>
      <w:tr>
        <w:tblPrEx>
          <w:tblLayout w:type="fixed"/>
          <w:tblCellMar>
            <w:top w:w="0" w:type="dxa"/>
            <w:left w:w="57" w:type="dxa"/>
            <w:bottom w:w="0" w:type="dxa"/>
            <w:right w:w="57" w:type="dxa"/>
          </w:tblCellMar>
        </w:tblPrEx>
        <w:trPr>
          <w:trHeight w:val="397" w:hRule="atLeast"/>
          <w:jc w:val="center"/>
        </w:trPr>
        <w:tc>
          <w:tcPr>
            <w:tcW w:w="6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基</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本</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信</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息</w:t>
            </w: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1.</w:t>
            </w:r>
            <w:r>
              <w:rPr>
                <w:rFonts w:hint="eastAsia" w:ascii="仿宋_GB2312" w:hAnsi="宋体" w:eastAsia="仿宋_GB2312" w:cs="宋体"/>
                <w:color w:val="000000"/>
                <w:sz w:val="24"/>
              </w:rPr>
              <w:t>企业名称（</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2.</w:t>
            </w:r>
            <w:r>
              <w:rPr>
                <w:rFonts w:hint="eastAsia" w:ascii="仿宋_GB2312" w:hAnsi="宋体" w:eastAsia="仿宋_GB2312" w:cs="宋体"/>
                <w:color w:val="000000"/>
                <w:sz w:val="24"/>
              </w:rPr>
              <w:t>组织机构代码</w:t>
            </w:r>
            <w:r>
              <w:rPr>
                <w:rFonts w:ascii="仿宋_GB2312" w:hAnsi="宋体" w:eastAsia="仿宋_GB2312" w:cs="宋体"/>
                <w:color w:val="000000"/>
                <w:sz w:val="24"/>
              </w:rPr>
              <w:t>(                                 )</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3.</w:t>
            </w:r>
            <w:r>
              <w:rPr>
                <w:rFonts w:hint="eastAsia" w:ascii="仿宋_GB2312" w:hAnsi="宋体" w:eastAsia="仿宋_GB2312" w:cs="宋体"/>
                <w:color w:val="000000"/>
                <w:sz w:val="24"/>
              </w:rPr>
              <w:t>注册地（</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4.</w:t>
            </w:r>
            <w:r>
              <w:rPr>
                <w:rFonts w:hint="eastAsia" w:ascii="仿宋_GB2312" w:hAnsi="宋体" w:eastAsia="仿宋_GB2312" w:cs="宋体"/>
                <w:color w:val="000000"/>
                <w:sz w:val="24"/>
              </w:rPr>
              <w:t>所属行业代码及名称（</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）（注：按《国民经济行业分类》（</w:t>
            </w:r>
            <w:r>
              <w:rPr>
                <w:rFonts w:ascii="仿宋_GB2312" w:hAnsi="宋体" w:eastAsia="仿宋_GB2312" w:cs="宋体"/>
                <w:color w:val="000000"/>
                <w:sz w:val="24"/>
              </w:rPr>
              <w:t>GB/T4754-2011</w:t>
            </w:r>
            <w:r>
              <w:rPr>
                <w:rFonts w:hint="eastAsia" w:ascii="仿宋_GB2312" w:hAnsi="宋体" w:eastAsia="仿宋_GB2312" w:cs="宋体"/>
                <w:color w:val="000000"/>
                <w:sz w:val="24"/>
              </w:rPr>
              <w:t>）中国民经济行业分类和代码表中“大类”填写）</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5.</w:t>
            </w:r>
            <w:r>
              <w:rPr>
                <w:rFonts w:hint="eastAsia" w:ascii="仿宋_GB2312" w:hAnsi="宋体" w:eastAsia="仿宋_GB2312" w:cs="宋体"/>
                <w:color w:val="000000"/>
                <w:sz w:val="24"/>
              </w:rPr>
              <w:t>主营业务：</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6.</w:t>
            </w:r>
            <w:r>
              <w:rPr>
                <w:rFonts w:hint="eastAsia" w:ascii="仿宋_GB2312" w:hAnsi="宋体" w:eastAsia="仿宋_GB2312" w:cs="宋体"/>
                <w:color w:val="000000"/>
                <w:sz w:val="24"/>
              </w:rPr>
              <w:t>确定为国家知识产权优势企业时间：</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7.</w:t>
            </w:r>
            <w:r>
              <w:rPr>
                <w:rFonts w:hint="eastAsia" w:ascii="仿宋_GB2312" w:hAnsi="宋体" w:eastAsia="仿宋_GB2312" w:cs="宋体"/>
                <w:color w:val="000000"/>
                <w:sz w:val="24"/>
              </w:rPr>
              <w:t>注册资金为（</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）万元</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8.</w:t>
            </w:r>
            <w:r>
              <w:rPr>
                <w:rFonts w:hint="eastAsia" w:ascii="仿宋_GB2312" w:hAnsi="宋体" w:eastAsia="仿宋_GB2312" w:cs="宋体"/>
                <w:color w:val="000000"/>
                <w:sz w:val="24"/>
              </w:rPr>
              <w:t>企业规模为（</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）（按照《中小企业划型标准规定》确定）</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 xml:space="preserve">       A.</w:t>
            </w:r>
            <w:r>
              <w:rPr>
                <w:rFonts w:hint="eastAsia" w:ascii="仿宋_GB2312" w:hAnsi="宋体" w:eastAsia="仿宋_GB2312" w:cs="宋体"/>
                <w:color w:val="000000"/>
                <w:sz w:val="24"/>
              </w:rPr>
              <w:t>大型企业</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中型企业</w:t>
            </w:r>
            <w:r>
              <w:rPr>
                <w:rFonts w:ascii="仿宋_GB2312" w:hAnsi="宋体" w:eastAsia="仿宋_GB2312" w:cs="宋体"/>
                <w:color w:val="000000"/>
                <w:sz w:val="24"/>
              </w:rPr>
              <w:t xml:space="preserve">   C.</w:t>
            </w:r>
            <w:r>
              <w:rPr>
                <w:rFonts w:hint="eastAsia" w:ascii="仿宋_GB2312" w:hAnsi="宋体" w:eastAsia="仿宋_GB2312" w:cs="宋体"/>
                <w:color w:val="000000"/>
                <w:sz w:val="24"/>
              </w:rPr>
              <w:t>小型企业</w:t>
            </w:r>
            <w:r>
              <w:rPr>
                <w:rFonts w:ascii="仿宋_GB2312" w:hAnsi="宋体" w:eastAsia="仿宋_GB2312" w:cs="宋体"/>
                <w:color w:val="000000"/>
                <w:sz w:val="24"/>
              </w:rPr>
              <w:t xml:space="preserve">  D.</w:t>
            </w:r>
            <w:r>
              <w:rPr>
                <w:rFonts w:hint="eastAsia" w:ascii="仿宋_GB2312" w:hAnsi="宋体" w:eastAsia="仿宋_GB2312" w:cs="宋体"/>
                <w:color w:val="000000"/>
                <w:sz w:val="24"/>
              </w:rPr>
              <w:t>微型企业</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9.</w:t>
            </w:r>
            <w:r>
              <w:rPr>
                <w:rFonts w:hint="eastAsia" w:ascii="仿宋_GB2312" w:hAnsi="宋体" w:eastAsia="仿宋_GB2312" w:cs="宋体"/>
                <w:color w:val="000000"/>
                <w:sz w:val="24"/>
              </w:rPr>
              <w:t>企业登记注册类型（</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 xml:space="preserve">       A.</w:t>
            </w:r>
            <w:r>
              <w:rPr>
                <w:rFonts w:hint="eastAsia" w:ascii="仿宋_GB2312" w:hAnsi="宋体" w:eastAsia="仿宋_GB2312" w:cs="宋体"/>
                <w:color w:val="000000"/>
                <w:sz w:val="24"/>
              </w:rPr>
              <w:t>内资企业</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港、澳、台商投资企业</w:t>
            </w:r>
            <w:r>
              <w:rPr>
                <w:rFonts w:ascii="仿宋_GB2312" w:hAnsi="宋体" w:eastAsia="仿宋_GB2312" w:cs="宋体"/>
                <w:color w:val="000000"/>
                <w:sz w:val="24"/>
              </w:rPr>
              <w:t xml:space="preserve">      C.</w:t>
            </w:r>
            <w:r>
              <w:rPr>
                <w:rFonts w:hint="eastAsia" w:ascii="仿宋_GB2312" w:hAnsi="宋体" w:eastAsia="仿宋_GB2312" w:cs="宋体"/>
                <w:color w:val="000000"/>
                <w:sz w:val="24"/>
              </w:rPr>
              <w:t>外商投资企业</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1</w:t>
            </w:r>
            <w:r>
              <w:rPr>
                <w:rFonts w:hint="eastAsia" w:ascii="仿宋_GB2312" w:hAnsi="宋体" w:eastAsia="仿宋_GB2312" w:cs="宋体"/>
                <w:color w:val="000000"/>
                <w:sz w:val="24"/>
              </w:rPr>
              <w:t>）企业基本性质若为内资企业，请进一步选择（</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 xml:space="preserve">       A.</w:t>
            </w:r>
            <w:r>
              <w:rPr>
                <w:rFonts w:hint="eastAsia" w:ascii="仿宋_GB2312" w:hAnsi="宋体" w:eastAsia="仿宋_GB2312" w:cs="宋体"/>
                <w:color w:val="000000"/>
                <w:sz w:val="24"/>
              </w:rPr>
              <w:t>中央管理国有企业</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地方管理国有企业</w:t>
            </w:r>
            <w:r>
              <w:rPr>
                <w:rFonts w:ascii="仿宋_GB2312" w:hAnsi="宋体" w:eastAsia="仿宋_GB2312" w:cs="宋体"/>
                <w:color w:val="000000"/>
                <w:sz w:val="24"/>
              </w:rPr>
              <w:t xml:space="preserve">    C.</w:t>
            </w:r>
            <w:r>
              <w:rPr>
                <w:rFonts w:hint="eastAsia" w:ascii="仿宋_GB2312" w:hAnsi="宋体" w:eastAsia="仿宋_GB2312" w:cs="宋体"/>
                <w:color w:val="000000"/>
                <w:sz w:val="24"/>
              </w:rPr>
              <w:t>集体企业</w:t>
            </w:r>
            <w:r>
              <w:rPr>
                <w:rFonts w:ascii="仿宋_GB2312" w:hAnsi="宋体" w:eastAsia="仿宋_GB2312" w:cs="宋体"/>
                <w:color w:val="000000"/>
                <w:sz w:val="24"/>
              </w:rPr>
              <w:t xml:space="preserve">  </w:t>
            </w:r>
          </w:p>
          <w:p>
            <w:pPr>
              <w:ind w:firstLine="840" w:firstLineChars="350"/>
              <w:rPr>
                <w:rFonts w:ascii="仿宋_GB2312" w:hAnsi="宋体" w:eastAsia="仿宋_GB2312" w:cs="宋体"/>
                <w:color w:val="000000"/>
                <w:sz w:val="24"/>
              </w:rPr>
            </w:pPr>
            <w:r>
              <w:rPr>
                <w:rFonts w:ascii="仿宋_GB2312" w:hAnsi="宋体" w:eastAsia="仿宋_GB2312" w:cs="宋体"/>
                <w:color w:val="000000"/>
                <w:sz w:val="24"/>
              </w:rPr>
              <w:t>D.</w:t>
            </w:r>
            <w:r>
              <w:rPr>
                <w:rFonts w:hint="eastAsia" w:ascii="仿宋_GB2312" w:hAnsi="宋体" w:eastAsia="仿宋_GB2312" w:cs="宋体"/>
                <w:color w:val="000000"/>
                <w:sz w:val="24"/>
              </w:rPr>
              <w:t>私营企业</w:t>
            </w:r>
            <w:r>
              <w:rPr>
                <w:rFonts w:ascii="仿宋_GB2312" w:hAnsi="宋体" w:eastAsia="仿宋_GB2312" w:cs="宋体"/>
                <w:color w:val="000000"/>
                <w:sz w:val="24"/>
              </w:rPr>
              <w:t xml:space="preserve">   E.</w:t>
            </w:r>
            <w:r>
              <w:rPr>
                <w:rFonts w:hint="eastAsia" w:ascii="仿宋_GB2312" w:hAnsi="宋体" w:eastAsia="仿宋_GB2312" w:cs="宋体"/>
                <w:color w:val="000000"/>
                <w:sz w:val="24"/>
              </w:rPr>
              <w:t>联营企业</w:t>
            </w:r>
            <w:r>
              <w:rPr>
                <w:rFonts w:ascii="仿宋_GB2312" w:hAnsi="宋体" w:eastAsia="仿宋_GB2312" w:cs="宋体"/>
                <w:color w:val="000000"/>
                <w:sz w:val="24"/>
              </w:rPr>
              <w:t xml:space="preserve">  F.</w:t>
            </w:r>
            <w:r>
              <w:rPr>
                <w:rFonts w:hint="eastAsia" w:ascii="仿宋_GB2312" w:hAnsi="宋体" w:eastAsia="仿宋_GB2312" w:cs="宋体"/>
                <w:color w:val="000000"/>
                <w:sz w:val="24"/>
              </w:rPr>
              <w:t>股份企业</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2</w:t>
            </w:r>
            <w:r>
              <w:rPr>
                <w:rFonts w:hint="eastAsia" w:ascii="仿宋_GB2312" w:hAnsi="宋体" w:eastAsia="仿宋_GB2312" w:cs="宋体"/>
                <w:color w:val="000000"/>
                <w:sz w:val="24"/>
              </w:rPr>
              <w:t>）企业若为外商投资企业，请进一步选择（</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 xml:space="preserve">       A.</w:t>
            </w:r>
            <w:r>
              <w:rPr>
                <w:rFonts w:hint="eastAsia" w:ascii="仿宋_GB2312" w:hAnsi="宋体" w:eastAsia="仿宋_GB2312" w:cs="宋体"/>
                <w:color w:val="000000"/>
                <w:sz w:val="24"/>
              </w:rPr>
              <w:t>中外合资经营企业</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中外合作经营企业</w:t>
            </w:r>
            <w:r>
              <w:rPr>
                <w:rFonts w:ascii="仿宋_GB2312" w:hAnsi="宋体" w:eastAsia="仿宋_GB2312" w:cs="宋体"/>
                <w:color w:val="000000"/>
                <w:sz w:val="24"/>
              </w:rPr>
              <w:br w:type="textWrapping"/>
            </w:r>
            <w:r>
              <w:rPr>
                <w:rFonts w:ascii="仿宋_GB2312" w:hAnsi="宋体" w:eastAsia="仿宋_GB2312" w:cs="宋体"/>
                <w:color w:val="000000"/>
                <w:sz w:val="24"/>
              </w:rPr>
              <w:t xml:space="preserve">       C.</w:t>
            </w:r>
            <w:r>
              <w:rPr>
                <w:rFonts w:hint="eastAsia" w:ascii="仿宋_GB2312" w:hAnsi="宋体" w:eastAsia="仿宋_GB2312" w:cs="宋体"/>
                <w:color w:val="000000"/>
                <w:sz w:val="24"/>
              </w:rPr>
              <w:t>外资企业</w:t>
            </w:r>
            <w:r>
              <w:rPr>
                <w:rFonts w:ascii="仿宋_GB2312" w:hAnsi="宋体" w:eastAsia="仿宋_GB2312" w:cs="宋体"/>
                <w:color w:val="000000"/>
                <w:sz w:val="24"/>
              </w:rPr>
              <w:t xml:space="preserve">           D.</w:t>
            </w:r>
            <w:r>
              <w:rPr>
                <w:rFonts w:hint="eastAsia" w:ascii="仿宋_GB2312" w:hAnsi="宋体" w:eastAsia="仿宋_GB2312" w:cs="宋体"/>
                <w:color w:val="000000"/>
                <w:sz w:val="24"/>
              </w:rPr>
              <w:t>外商投资股份有限公司</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10.</w:t>
            </w:r>
            <w:r>
              <w:rPr>
                <w:rFonts w:hint="eastAsia" w:ascii="仿宋_GB2312" w:hAnsi="宋体" w:eastAsia="仿宋_GB2312" w:cs="宋体"/>
                <w:color w:val="000000"/>
                <w:sz w:val="24"/>
              </w:rPr>
              <w:t>企业是否上市（</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 xml:space="preserve">       A.</w:t>
            </w:r>
            <w:r>
              <w:rPr>
                <w:rFonts w:hint="eastAsia" w:ascii="仿宋_GB2312" w:hAnsi="宋体" w:eastAsia="仿宋_GB2312" w:cs="宋体"/>
                <w:color w:val="000000"/>
                <w:sz w:val="24"/>
              </w:rPr>
              <w:t>未上市</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准备上市</w:t>
            </w:r>
            <w:r>
              <w:rPr>
                <w:rFonts w:ascii="仿宋_GB2312" w:hAnsi="宋体" w:eastAsia="仿宋_GB2312" w:cs="宋体"/>
                <w:color w:val="000000"/>
                <w:sz w:val="24"/>
              </w:rPr>
              <w:t xml:space="preserve">      C.</w:t>
            </w:r>
            <w:r>
              <w:rPr>
                <w:rFonts w:hint="eastAsia" w:ascii="仿宋_GB2312" w:hAnsi="宋体" w:eastAsia="仿宋_GB2312" w:cs="宋体"/>
                <w:color w:val="000000"/>
                <w:sz w:val="24"/>
              </w:rPr>
              <w:t>国内上市</w:t>
            </w:r>
            <w:r>
              <w:rPr>
                <w:rFonts w:ascii="仿宋_GB2312" w:hAnsi="宋体" w:eastAsia="仿宋_GB2312" w:cs="宋体"/>
                <w:color w:val="000000"/>
                <w:sz w:val="24"/>
              </w:rPr>
              <w:t xml:space="preserve">       D.</w:t>
            </w:r>
            <w:r>
              <w:rPr>
                <w:rFonts w:hint="eastAsia" w:ascii="仿宋_GB2312" w:hAnsi="宋体" w:eastAsia="仿宋_GB2312" w:cs="宋体"/>
                <w:color w:val="000000"/>
                <w:sz w:val="24"/>
              </w:rPr>
              <w:t>海外上市</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11.</w:t>
            </w:r>
            <w:r>
              <w:rPr>
                <w:rFonts w:hint="eastAsia" w:ascii="仿宋_GB2312" w:hAnsi="宋体" w:eastAsia="仿宋_GB2312" w:cs="宋体"/>
                <w:color w:val="000000"/>
                <w:sz w:val="24"/>
              </w:rPr>
              <w:t>知识产权工作联系人信息：</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 xml:space="preserve">       </w:t>
            </w:r>
            <w:r>
              <w:rPr>
                <w:rFonts w:hint="eastAsia" w:ascii="仿宋_GB2312" w:hAnsi="宋体" w:eastAsia="仿宋_GB2312" w:cs="宋体"/>
                <w:color w:val="000000"/>
                <w:sz w:val="24"/>
              </w:rPr>
              <w:t>第一联系人：姓名（</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）、所在部门（</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）、职务（</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）、单位电话（</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）、移动电话（</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E-mail</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）、通讯地址（</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）、邮编（</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 xml:space="preserve">       </w:t>
            </w:r>
            <w:r>
              <w:rPr>
                <w:rFonts w:hint="eastAsia" w:ascii="仿宋_GB2312" w:hAnsi="宋体" w:eastAsia="仿宋_GB2312" w:cs="宋体"/>
                <w:color w:val="000000"/>
                <w:sz w:val="24"/>
              </w:rPr>
              <w:t>第二联系人：姓名（</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）、所在部门（</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）、职务（</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）、单位电话（</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）、移动电话（</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E-mail</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）、通讯地址（</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）、邮编（</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9072" w:type="dxa"/>
            <w:gridSpan w:val="10"/>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知</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识</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产</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权</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创</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造</w:t>
            </w: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r>
              <w:rPr>
                <w:rFonts w:hint="eastAsia" w:ascii="仿宋_GB2312" w:hAnsi="宋体" w:eastAsia="仿宋_GB2312" w:cs="宋体"/>
                <w:b/>
                <w:bCs/>
                <w:color w:val="000000"/>
                <w:sz w:val="24"/>
              </w:rPr>
              <w:t>年度财务基本信息</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l2br w:val="single" w:color="auto" w:sz="4" w:space="0"/>
            </w:tcBorders>
            <w:vAlign w:val="center"/>
          </w:tcPr>
          <w:p>
            <w:pPr>
              <w:jc w:val="center"/>
              <w:rPr>
                <w:rFonts w:ascii="仿宋_GB2312" w:hAnsi="宋体" w:eastAsia="仿宋_GB2312" w:cs="宋体"/>
                <w:color w:val="000000"/>
                <w:sz w:val="24"/>
              </w:rPr>
            </w:pPr>
          </w:p>
          <w:p>
            <w:pPr>
              <w:jc w:val="center"/>
              <w:rPr>
                <w:rFonts w:ascii="仿宋_GB2312" w:hAnsi="宋体" w:eastAsia="仿宋_GB2312" w:cs="宋体"/>
                <w:color w:val="000000"/>
                <w:sz w:val="24"/>
              </w:rPr>
            </w:pP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年度产值</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c>
          <w:tcPr>
            <w:tcW w:w="22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产品销售收入</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年度研发投入</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2</w:t>
            </w:r>
            <w:r>
              <w:rPr>
                <w:rFonts w:hint="eastAsia" w:ascii="仿宋_GB2312" w:hAnsi="宋体" w:eastAsia="仿宋_GB2312" w:cs="宋体"/>
                <w:color w:val="000000"/>
                <w:sz w:val="24"/>
              </w:rPr>
              <w:t>年</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（2015年）</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22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1</w:t>
            </w:r>
            <w:r>
              <w:rPr>
                <w:rFonts w:hint="eastAsia" w:ascii="仿宋_GB2312" w:hAnsi="宋体" w:eastAsia="仿宋_GB2312" w:cs="宋体"/>
                <w:color w:val="000000"/>
                <w:sz w:val="24"/>
              </w:rPr>
              <w:t>年</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（2016年）</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22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年（2017年）</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w:t>
            </w:r>
            <w:r>
              <w:rPr>
                <w:rFonts w:ascii="仿宋_GB2312" w:hAnsi="宋体" w:eastAsia="仿宋_GB2312" w:cs="宋体"/>
                <w:color w:val="000000"/>
                <w:sz w:val="24"/>
              </w:rPr>
              <w:t>T</w:t>
            </w:r>
            <w:r>
              <w:rPr>
                <w:rFonts w:hint="eastAsia" w:ascii="仿宋_GB2312" w:hAnsi="宋体" w:eastAsia="仿宋_GB2312" w:cs="宋体"/>
                <w:color w:val="000000"/>
                <w:sz w:val="24"/>
              </w:rPr>
              <w:t>为复核</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前一年，下同</w:t>
            </w:r>
            <w:r>
              <w:rPr>
                <w:rFonts w:ascii="仿宋_GB2312" w:hAnsi="宋体" w:eastAsia="仿宋_GB2312" w:cs="宋体"/>
                <w:color w:val="000000"/>
                <w:sz w:val="24"/>
              </w:rPr>
              <w:t>)</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22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b/>
                <w:bCs/>
                <w:color w:val="000000"/>
                <w:sz w:val="24"/>
              </w:rPr>
              <w:t>年度知识产权投入</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l2br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专利申请</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投入</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专利维持</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年费</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专利保护</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投入</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专利奖励</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投入</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其他知识</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产权投入</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总计</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2</w:t>
            </w:r>
            <w:r>
              <w:rPr>
                <w:rFonts w:hint="eastAsia" w:ascii="仿宋_GB2312" w:hAnsi="宋体" w:eastAsia="仿宋_GB2312" w:cs="宋体"/>
                <w:color w:val="000000"/>
                <w:sz w:val="24"/>
              </w:rPr>
              <w:t>年</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1</w:t>
            </w:r>
            <w:r>
              <w:rPr>
                <w:rFonts w:hint="eastAsia" w:ascii="仿宋_GB2312" w:hAnsi="宋体" w:eastAsia="仿宋_GB2312" w:cs="宋体"/>
                <w:color w:val="000000"/>
                <w:sz w:val="24"/>
              </w:rPr>
              <w:t>年</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年</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r>
              <w:rPr>
                <w:rFonts w:hint="eastAsia" w:ascii="仿宋_GB2312" w:hAnsi="宋体" w:eastAsia="仿宋_GB2312" w:cs="宋体"/>
                <w:b/>
                <w:bCs/>
                <w:color w:val="000000"/>
                <w:sz w:val="24"/>
              </w:rPr>
              <w:t>近三年专利申请情况</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jc w:val="center"/>
              <w:rPr>
                <w:rFonts w:ascii="仿宋_GB2312" w:hAnsi="宋体" w:eastAsia="仿宋_GB2312" w:cs="宋体"/>
                <w:color w:val="000000"/>
                <w:sz w:val="24"/>
              </w:rPr>
            </w:pP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发明</w:t>
            </w:r>
          </w:p>
        </w:tc>
        <w:tc>
          <w:tcPr>
            <w:tcW w:w="22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实用新型</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外观设计</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申请量</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授权量</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申请量</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授权量</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申请量</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授权量</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2</w:t>
            </w:r>
            <w:r>
              <w:rPr>
                <w:rFonts w:hint="eastAsia" w:ascii="仿宋_GB2312" w:hAnsi="宋体" w:eastAsia="仿宋_GB2312" w:cs="宋体"/>
                <w:color w:val="000000"/>
                <w:sz w:val="24"/>
              </w:rPr>
              <w:t>年</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1</w:t>
            </w:r>
            <w:r>
              <w:rPr>
                <w:rFonts w:hint="eastAsia" w:ascii="仿宋_GB2312" w:hAnsi="宋体" w:eastAsia="仿宋_GB2312" w:cs="宋体"/>
                <w:color w:val="000000"/>
                <w:sz w:val="24"/>
              </w:rPr>
              <w:t>年</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年</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r>
              <w:rPr>
                <w:rFonts w:hint="eastAsia" w:ascii="仿宋_GB2312" w:hAnsi="宋体" w:eastAsia="仿宋_GB2312" w:cs="宋体"/>
                <w:b/>
                <w:bCs/>
                <w:color w:val="000000"/>
                <w:sz w:val="24"/>
              </w:rPr>
              <w:t>截至上一年有效专利拥有量</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年份</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发明</w:t>
            </w:r>
          </w:p>
        </w:tc>
        <w:tc>
          <w:tcPr>
            <w:tcW w:w="22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实用新型</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外观设计</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年</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22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212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845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r>
              <w:rPr>
                <w:rFonts w:hint="eastAsia" w:ascii="仿宋_GB2312" w:hAnsi="宋体" w:eastAsia="仿宋_GB2312" w:cs="宋体"/>
                <w:b/>
                <w:bCs/>
                <w:color w:val="000000"/>
                <w:sz w:val="24"/>
              </w:rPr>
              <w:t>累计向国外专利数量</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33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PCT</w:t>
            </w:r>
          </w:p>
        </w:tc>
        <w:tc>
          <w:tcPr>
            <w:tcW w:w="331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巴黎公约</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申请</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授权</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有效总量</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申请</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授权</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有效总量</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截至第</w:t>
            </w:r>
            <w:r>
              <w:rPr>
                <w:rFonts w:ascii="仿宋_GB2312" w:hAnsi="宋体" w:eastAsia="仿宋_GB2312" w:cs="宋体"/>
                <w:color w:val="000000"/>
                <w:sz w:val="24"/>
              </w:rPr>
              <w:t>T</w:t>
            </w:r>
            <w:r>
              <w:rPr>
                <w:rFonts w:hint="eastAsia" w:ascii="仿宋_GB2312" w:hAnsi="宋体" w:eastAsia="仿宋_GB2312" w:cs="宋体"/>
                <w:color w:val="000000"/>
                <w:sz w:val="24"/>
              </w:rPr>
              <w:t>年底</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截至第</w:t>
            </w:r>
            <w:r>
              <w:rPr>
                <w:rFonts w:ascii="仿宋_GB2312" w:hAnsi="宋体" w:eastAsia="仿宋_GB2312" w:cs="宋体"/>
                <w:color w:val="000000"/>
                <w:sz w:val="24"/>
              </w:rPr>
              <w:t>T</w:t>
            </w:r>
            <w:r>
              <w:rPr>
                <w:rFonts w:hint="eastAsia" w:ascii="仿宋_GB2312" w:hAnsi="宋体" w:eastAsia="仿宋_GB2312" w:cs="宋体"/>
                <w:color w:val="000000"/>
                <w:sz w:val="24"/>
              </w:rPr>
              <w:t>年底商标注册量</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国内商标注册情况</w:t>
            </w:r>
          </w:p>
        </w:tc>
        <w:tc>
          <w:tcPr>
            <w:tcW w:w="5514"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注册商标</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件</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5514"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中国驰名商标</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件</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国外商标注册情况</w:t>
            </w:r>
          </w:p>
        </w:tc>
        <w:tc>
          <w:tcPr>
            <w:tcW w:w="5514" w:type="dxa"/>
            <w:gridSpan w:val="7"/>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注册商标</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件</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5514"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截至第</w:t>
            </w:r>
            <w:r>
              <w:rPr>
                <w:rFonts w:ascii="仿宋_GB2312" w:hAnsi="宋体" w:eastAsia="仿宋_GB2312" w:cs="宋体"/>
                <w:color w:val="000000"/>
                <w:sz w:val="24"/>
              </w:rPr>
              <w:t>T</w:t>
            </w:r>
            <w:r>
              <w:rPr>
                <w:rFonts w:hint="eastAsia" w:ascii="仿宋_GB2312" w:hAnsi="宋体" w:eastAsia="仿宋_GB2312" w:cs="宋体"/>
                <w:color w:val="000000"/>
                <w:sz w:val="24"/>
              </w:rPr>
              <w:t>年底</w:t>
            </w:r>
          </w:p>
          <w:p>
            <w:pPr>
              <w:spacing w:line="260" w:lineRule="exact"/>
              <w:jc w:val="center"/>
              <w:rPr>
                <w:rFonts w:ascii="仿宋_GB2312" w:hAnsi="宋体" w:eastAsia="仿宋_GB2312" w:cs="宋体"/>
                <w:color w:val="000000"/>
                <w:sz w:val="24"/>
              </w:rPr>
            </w:pPr>
            <w:r>
              <w:rPr>
                <w:rFonts w:hint="eastAsia" w:ascii="仿宋_GB2312" w:hAnsi="宋体" w:eastAsia="仿宋_GB2312" w:cs="宋体"/>
                <w:color w:val="000000"/>
                <w:sz w:val="24"/>
              </w:rPr>
              <w:t>其它知识产权拥有量</w:t>
            </w:r>
          </w:p>
        </w:tc>
        <w:tc>
          <w:tcPr>
            <w:tcW w:w="33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集成电路布图设计总数</w:t>
            </w:r>
          </w:p>
        </w:tc>
        <w:tc>
          <w:tcPr>
            <w:tcW w:w="3316"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　</w:t>
            </w:r>
          </w:p>
        </w:tc>
      </w:tr>
      <w:tr>
        <w:tblPrEx>
          <w:tblLayout w:type="fixed"/>
          <w:tblCellMar>
            <w:top w:w="0" w:type="dxa"/>
            <w:left w:w="57" w:type="dxa"/>
            <w:bottom w:w="0" w:type="dxa"/>
            <w:right w:w="57" w:type="dxa"/>
          </w:tblCellMar>
        </w:tblPrEx>
        <w:trPr>
          <w:trHeight w:val="35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计算机软件著作权登记总数</w:t>
            </w:r>
          </w:p>
        </w:tc>
        <w:tc>
          <w:tcPr>
            <w:tcW w:w="3316"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　</w:t>
            </w:r>
          </w:p>
        </w:tc>
      </w:tr>
      <w:tr>
        <w:tblPrEx>
          <w:tblLayout w:type="fixed"/>
          <w:tblCellMar>
            <w:top w:w="0" w:type="dxa"/>
            <w:left w:w="57" w:type="dxa"/>
            <w:bottom w:w="0" w:type="dxa"/>
            <w:right w:w="57" w:type="dxa"/>
          </w:tblCellMar>
        </w:tblPrEx>
        <w:trPr>
          <w:trHeight w:val="425" w:hRule="atLeast"/>
          <w:jc w:val="center"/>
        </w:trPr>
        <w:tc>
          <w:tcPr>
            <w:tcW w:w="6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识</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产</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权</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运</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用</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知识产权实施</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运用情况</w:t>
            </w:r>
          </w:p>
        </w:tc>
        <w:tc>
          <w:tcPr>
            <w:tcW w:w="1176"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jc w:val="center"/>
              <w:rPr>
                <w:rFonts w:ascii="仿宋_GB2312" w:hAnsi="宋体" w:eastAsia="仿宋_GB2312" w:cs="宋体"/>
                <w:color w:val="000000"/>
                <w:sz w:val="24"/>
              </w:rPr>
            </w:pPr>
          </w:p>
        </w:tc>
        <w:tc>
          <w:tcPr>
            <w:tcW w:w="21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运用他人专利（件）</w:t>
            </w:r>
          </w:p>
        </w:tc>
        <w:tc>
          <w:tcPr>
            <w:tcW w:w="2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运用自有专利</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商标运用（件）</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接受转让</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接受许可</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向外转让</w:t>
            </w:r>
          </w:p>
        </w:tc>
        <w:tc>
          <w:tcPr>
            <w:tcW w:w="1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向外许可</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转让许可</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总量</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2</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1</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知识产权运用</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经济效益</w:t>
            </w:r>
          </w:p>
        </w:tc>
        <w:tc>
          <w:tcPr>
            <w:tcW w:w="1176"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jc w:val="center"/>
              <w:rPr>
                <w:rFonts w:ascii="仿宋_GB2312" w:hAnsi="宋体" w:eastAsia="仿宋_GB2312" w:cs="宋体"/>
                <w:color w:val="000000"/>
                <w:sz w:val="24"/>
              </w:rPr>
            </w:pPr>
          </w:p>
        </w:tc>
        <w:tc>
          <w:tcPr>
            <w:tcW w:w="21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专利转让许可收益</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商标转让</w:t>
            </w:r>
            <w:r>
              <w:rPr>
                <w:rFonts w:ascii="仿宋_GB2312" w:hAnsi="宋体" w:eastAsia="仿宋_GB2312" w:cs="宋体"/>
                <w:color w:val="000000"/>
                <w:sz w:val="24"/>
              </w:rPr>
              <w:br w:type="textWrapping"/>
            </w:r>
            <w:r>
              <w:rPr>
                <w:rFonts w:hint="eastAsia" w:ascii="仿宋_GB2312" w:hAnsi="宋体" w:eastAsia="仿宋_GB2312" w:cs="宋体"/>
                <w:color w:val="000000"/>
                <w:sz w:val="24"/>
              </w:rPr>
              <w:t>许可收益</w:t>
            </w:r>
            <w:r>
              <w:rPr>
                <w:rFonts w:ascii="仿宋_GB2312" w:hAnsi="宋体" w:eastAsia="仿宋_GB2312" w:cs="宋体"/>
                <w:color w:val="000000"/>
                <w:sz w:val="24"/>
              </w:rPr>
              <w:br w:type="textWrapping"/>
            </w:r>
            <w:r>
              <w:rPr>
                <w:rFonts w:hint="eastAsia" w:ascii="仿宋_GB2312" w:hAnsi="宋体" w:eastAsia="仿宋_GB2312" w:cs="宋体"/>
                <w:color w:val="000000"/>
                <w:sz w:val="24"/>
              </w:rPr>
              <w:t>（万元）</w:t>
            </w:r>
          </w:p>
        </w:tc>
        <w:tc>
          <w:tcPr>
            <w:tcW w:w="110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专利产品销售收入</w:t>
            </w:r>
            <w:r>
              <w:rPr>
                <w:rFonts w:ascii="仿宋_GB2312" w:hAnsi="宋体" w:eastAsia="仿宋_GB2312" w:cs="宋体"/>
                <w:color w:val="000000"/>
                <w:sz w:val="24"/>
              </w:rPr>
              <w:br w:type="textWrapping"/>
            </w:r>
            <w:r>
              <w:rPr>
                <w:rFonts w:hint="eastAsia" w:ascii="仿宋_GB2312" w:hAnsi="宋体" w:eastAsia="仿宋_GB2312" w:cs="宋体"/>
                <w:color w:val="000000"/>
                <w:sz w:val="24"/>
              </w:rPr>
              <w:t>（万元）</w:t>
            </w:r>
          </w:p>
        </w:tc>
        <w:tc>
          <w:tcPr>
            <w:tcW w:w="107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专利销售收入占企业销售收入比值（%）</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转让收益</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许可收益</w:t>
            </w: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77"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2</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1</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知识产权</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投融资情况</w:t>
            </w:r>
          </w:p>
        </w:tc>
        <w:tc>
          <w:tcPr>
            <w:tcW w:w="1176"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jc w:val="center"/>
              <w:rPr>
                <w:rFonts w:ascii="仿宋_GB2312" w:hAnsi="宋体" w:eastAsia="仿宋_GB2312" w:cs="宋体"/>
                <w:color w:val="000000"/>
                <w:sz w:val="24"/>
              </w:rPr>
            </w:pPr>
          </w:p>
        </w:tc>
        <w:tc>
          <w:tcPr>
            <w:tcW w:w="11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专利实施率（%）</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知识产权作价入股</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知识产权质押融资</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数量</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金额</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数量</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金额</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（万元）</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2</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1</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2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利用专利信息优化知识产权产出导向</w:t>
            </w:r>
          </w:p>
        </w:tc>
        <w:tc>
          <w:tcPr>
            <w:tcW w:w="450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是否对竞争对手专利信息进行分析</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450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是否充分利用失效、无效专利及他国专利</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1176"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在各过程中是否进行了专利信息的检索与分析</w:t>
            </w:r>
          </w:p>
        </w:tc>
        <w:tc>
          <w:tcPr>
            <w:tcW w:w="33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战略布局与主动防御</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新产品开发、科研立项</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专利申请</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专利诉讼</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产品、技术进出口</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专利许可</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专利投融资</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42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中外合资合作</w:t>
            </w:r>
          </w:p>
        </w:tc>
        <w:tc>
          <w:tcPr>
            <w:tcW w:w="2183"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624" w:hRule="atLeast"/>
          <w:jc w:val="center"/>
        </w:trPr>
        <w:tc>
          <w:tcPr>
            <w:tcW w:w="6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知</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识</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产</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权</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保</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护</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专利行政调处</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专利司法诉讼</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商标</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版权</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其它</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行政、司法途径</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2</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092"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97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1</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092"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97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r>
      <w:tr>
        <w:tblPrEx>
          <w:tblLayout w:type="fixed"/>
          <w:tblCellMar>
            <w:top w:w="0" w:type="dxa"/>
            <w:left w:w="57" w:type="dxa"/>
            <w:bottom w:w="0" w:type="dxa"/>
            <w:right w:w="57" w:type="dxa"/>
          </w:tblCellMar>
        </w:tblPrEx>
        <w:trPr>
          <w:trHeight w:val="375"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092"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c>
          <w:tcPr>
            <w:tcW w:w="979" w:type="dxa"/>
            <w:tcBorders>
              <w:top w:val="single" w:color="auto" w:sz="4" w:space="0"/>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4"/>
              </w:rPr>
            </w:pPr>
            <w:r>
              <w:rPr>
                <w:rFonts w:hint="eastAsia" w:ascii="仿宋_GB2312" w:hAnsi="宋体" w:eastAsia="仿宋_GB2312" w:cs="宋体"/>
                <w:color w:val="000000"/>
                <w:sz w:val="24"/>
              </w:rPr>
              <w:t>件</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自身途径</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是否建立贯穿生产经营全流程的知识产权侵权预警机制和风险监控机制</w:t>
            </w:r>
            <w:r>
              <w:rPr>
                <w:rFonts w:ascii="仿宋_GB2312" w:hAnsi="宋体" w:eastAsia="仿宋_GB2312" w:cs="宋体"/>
                <w:color w:val="000000"/>
                <w:sz w:val="24"/>
              </w:rPr>
              <w:t xml:space="preserve"> </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p>
          <w:p>
            <w:pPr>
              <w:jc w:val="center"/>
              <w:rPr>
                <w:rFonts w:ascii="仿宋_GB2312" w:hAnsi="宋体" w:eastAsia="仿宋_GB2312" w:cs="宋体"/>
                <w:color w:val="000000"/>
                <w:sz w:val="24"/>
              </w:rPr>
            </w:pPr>
            <w:r>
              <w:rPr>
                <w:rFonts w:ascii="仿宋_GB2312" w:hAnsi="宋体" w:eastAsia="仿宋_GB2312" w:cs="宋体"/>
                <w:color w:val="000000"/>
                <w:sz w:val="24"/>
              </w:rPr>
              <w:t>B.</w:t>
            </w:r>
            <w:r>
              <w:rPr>
                <w:rFonts w:hint="eastAsia" w:ascii="仿宋_GB2312" w:hAnsi="宋体" w:eastAsia="仿宋_GB2312" w:cs="宋体"/>
                <w:color w:val="000000"/>
                <w:sz w:val="24"/>
              </w:rPr>
              <w:t>否</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是否定期开展知识产权风险测评</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p>
          <w:p>
            <w:pPr>
              <w:jc w:val="center"/>
              <w:rPr>
                <w:rFonts w:ascii="仿宋_GB2312" w:hAnsi="宋体" w:eastAsia="仿宋_GB2312" w:cs="宋体"/>
                <w:color w:val="000000"/>
                <w:sz w:val="24"/>
              </w:rPr>
            </w:pPr>
            <w:r>
              <w:rPr>
                <w:rFonts w:ascii="仿宋_GB2312" w:hAnsi="宋体" w:eastAsia="仿宋_GB2312" w:cs="宋体"/>
                <w:color w:val="000000"/>
                <w:sz w:val="24"/>
              </w:rPr>
              <w:t>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228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是否通过开展知识产权尽职调查。获得知识产权许可等方式，避免主观恶意侵犯他人知识产权</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p>
          <w:p>
            <w:pPr>
              <w:jc w:val="center"/>
              <w:rPr>
                <w:rFonts w:ascii="仿宋_GB2312" w:hAnsi="宋体" w:eastAsia="仿宋_GB2312" w:cs="宋体"/>
                <w:color w:val="000000"/>
                <w:sz w:val="24"/>
              </w:rPr>
            </w:pPr>
            <w:r>
              <w:rPr>
                <w:rFonts w:ascii="仿宋_GB2312" w:hAnsi="宋体" w:eastAsia="仿宋_GB2312" w:cs="宋体"/>
                <w:color w:val="000000"/>
                <w:sz w:val="24"/>
              </w:rPr>
              <w:t>B.</w:t>
            </w:r>
            <w:r>
              <w:rPr>
                <w:rFonts w:hint="eastAsia" w:ascii="仿宋_GB2312" w:hAnsi="宋体" w:eastAsia="仿宋_GB2312" w:cs="宋体"/>
                <w:color w:val="000000"/>
                <w:sz w:val="24"/>
              </w:rPr>
              <w:t>否</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是否推动建立行业知识产权维权协作机制，参与行业专利纠纷处置</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p>
          <w:p>
            <w:pPr>
              <w:jc w:val="center"/>
              <w:rPr>
                <w:rFonts w:ascii="仿宋_GB2312" w:hAnsi="宋体" w:eastAsia="仿宋_GB2312" w:cs="宋体"/>
                <w:color w:val="000000"/>
                <w:sz w:val="24"/>
              </w:rPr>
            </w:pPr>
            <w:r>
              <w:rPr>
                <w:rFonts w:ascii="仿宋_GB2312" w:hAnsi="宋体" w:eastAsia="仿宋_GB2312" w:cs="宋体"/>
                <w:color w:val="000000"/>
                <w:sz w:val="24"/>
              </w:rPr>
              <w:t>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5711"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是否建立了应对国际、国内知识产权纠纷的机制，编制并适时调整相关预案</w:t>
            </w:r>
          </w:p>
        </w:tc>
        <w:tc>
          <w:tcPr>
            <w:tcW w:w="97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p>
          <w:p>
            <w:pPr>
              <w:rPr>
                <w:rFonts w:ascii="仿宋_GB2312" w:hAnsi="宋体" w:eastAsia="仿宋_GB2312" w:cs="宋体"/>
                <w:color w:val="000000"/>
                <w:sz w:val="24"/>
              </w:rPr>
            </w:pPr>
            <w:r>
              <w:rPr>
                <w:rFonts w:ascii="仿宋_GB2312" w:hAnsi="宋体" w:eastAsia="仿宋_GB2312" w:cs="宋体"/>
                <w:color w:val="000000"/>
                <w:sz w:val="24"/>
              </w:rPr>
              <w:t>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624" w:hRule="atLeast"/>
          <w:jc w:val="center"/>
        </w:trPr>
        <w:tc>
          <w:tcPr>
            <w:tcW w:w="6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知</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识</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产</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权</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管</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理</w:t>
            </w:r>
          </w:p>
        </w:tc>
        <w:tc>
          <w:tcPr>
            <w:tcW w:w="17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机构人员</w:t>
            </w:r>
          </w:p>
        </w:tc>
        <w:tc>
          <w:tcPr>
            <w:tcW w:w="3374"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知识产权管理部门隶属部门名称：（</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 xml:space="preserve"> </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c>
          <w:tcPr>
            <w:tcW w:w="3316"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法务部门</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科技部门</w:t>
            </w:r>
          </w:p>
          <w:p>
            <w:pPr>
              <w:rPr>
                <w:rFonts w:ascii="仿宋_GB2312" w:hAnsi="宋体" w:eastAsia="仿宋_GB2312" w:cs="宋体"/>
                <w:color w:val="000000"/>
                <w:sz w:val="24"/>
              </w:rPr>
            </w:pPr>
            <w:r>
              <w:rPr>
                <w:rFonts w:ascii="仿宋_GB2312" w:hAnsi="宋体" w:eastAsia="仿宋_GB2312" w:cs="宋体"/>
                <w:color w:val="000000"/>
                <w:sz w:val="24"/>
              </w:rPr>
              <w:t>C.</w:t>
            </w:r>
            <w:r>
              <w:rPr>
                <w:rFonts w:hint="eastAsia" w:ascii="仿宋_GB2312" w:hAnsi="宋体" w:eastAsia="仿宋_GB2312" w:cs="宋体"/>
                <w:color w:val="000000"/>
                <w:sz w:val="24"/>
              </w:rPr>
              <w:t>办公室</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 xml:space="preserve">  </w:t>
            </w:r>
            <w:r>
              <w:rPr>
                <w:rFonts w:ascii="仿宋_GB2312" w:hAnsi="宋体" w:eastAsia="仿宋_GB2312" w:cs="宋体"/>
                <w:color w:val="000000"/>
                <w:sz w:val="24"/>
              </w:rPr>
              <w:t xml:space="preserve"> D.</w:t>
            </w:r>
            <w:r>
              <w:rPr>
                <w:rFonts w:hint="eastAsia" w:ascii="仿宋_GB2312" w:hAnsi="宋体" w:eastAsia="仿宋_GB2312" w:cs="宋体"/>
                <w:color w:val="000000"/>
                <w:sz w:val="24"/>
              </w:rPr>
              <w:t>领导直管</w:t>
            </w:r>
          </w:p>
          <w:p>
            <w:pPr>
              <w:rPr>
                <w:rFonts w:ascii="仿宋_GB2312" w:hAnsi="宋体" w:eastAsia="仿宋_GB2312" w:cs="宋体"/>
                <w:color w:val="000000"/>
                <w:sz w:val="24"/>
              </w:rPr>
            </w:pPr>
            <w:r>
              <w:rPr>
                <w:rFonts w:ascii="仿宋_GB2312" w:hAnsi="宋体" w:eastAsia="仿宋_GB2312" w:cs="宋体"/>
                <w:color w:val="000000"/>
                <w:sz w:val="24"/>
              </w:rPr>
              <w:t>E.</w:t>
            </w:r>
            <w:r>
              <w:rPr>
                <w:rFonts w:hint="eastAsia" w:ascii="仿宋_GB2312" w:hAnsi="宋体" w:eastAsia="仿宋_GB2312" w:cs="宋体"/>
                <w:color w:val="000000"/>
                <w:sz w:val="24"/>
              </w:rPr>
              <w:t>其它</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知识产权</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人员情况</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sz w:val="24"/>
              </w:rPr>
            </w:pPr>
            <w:r>
              <w:rPr>
                <w:rFonts w:hint="eastAsia" w:ascii="楷体_GB2312" w:hAnsi="宋体" w:eastAsia="楷体_GB2312" w:cs="宋体"/>
                <w:color w:val="000000"/>
                <w:sz w:val="24"/>
              </w:rPr>
              <w:t>年份</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专职人数</w:t>
            </w: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兼职人数</w:t>
            </w:r>
          </w:p>
        </w:tc>
        <w:tc>
          <w:tcPr>
            <w:tcW w:w="23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其中具有</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代理资格人数</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其中律师人数</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2</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23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宋体" w:eastAsia="楷体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7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ascii="仿宋_GB2312" w:hAnsi="宋体" w:eastAsia="仿宋_GB2312" w:cs="宋体"/>
                <w:color w:val="000000"/>
                <w:sz w:val="24"/>
              </w:rPr>
              <w:t>T</w:t>
            </w:r>
            <w:r>
              <w:rPr>
                <w:rFonts w:hint="eastAsia" w:ascii="仿宋_GB2312" w:hAnsi="宋体" w:eastAsia="仿宋_GB2312" w:cs="宋体"/>
                <w:color w:val="000000"/>
                <w:sz w:val="24"/>
              </w:rPr>
              <w:t>－</w:t>
            </w:r>
            <w:r>
              <w:rPr>
                <w:rFonts w:ascii="仿宋_GB2312" w:hAnsi="宋体" w:eastAsia="仿宋_GB2312" w:cs="宋体"/>
                <w:color w:val="000000"/>
                <w:sz w:val="24"/>
              </w:rPr>
              <w:t>1</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23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7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第</w:t>
            </w:r>
            <w:r>
              <w:rPr>
                <w:rFonts w:ascii="仿宋_GB2312" w:hAnsi="宋体" w:eastAsia="仿宋_GB2312" w:cs="宋体"/>
                <w:color w:val="000000"/>
                <w:sz w:val="24"/>
              </w:rPr>
              <w:t>T</w:t>
            </w:r>
            <w:r>
              <w:rPr>
                <w:rFonts w:hint="eastAsia" w:ascii="仿宋_GB2312" w:hAnsi="宋体" w:eastAsia="仿宋_GB2312" w:cs="宋体"/>
                <w:color w:val="000000"/>
                <w:sz w:val="24"/>
              </w:rPr>
              <w:t>年</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0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233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43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规章制度</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知识产权管理制度</w:t>
            </w:r>
            <w:r>
              <w:rPr>
                <w:rFonts w:ascii="仿宋_GB2312" w:hAnsi="宋体" w:eastAsia="仿宋_GB2312" w:cs="宋体"/>
                <w:color w:val="000000"/>
                <w:sz w:val="24"/>
              </w:rPr>
              <w:t xml:space="preserve"> </w:t>
            </w:r>
          </w:p>
        </w:tc>
        <w:tc>
          <w:tcPr>
            <w:tcW w:w="338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知识产权机构管理制度</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有</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无</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8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知识产权教育培训制度</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有</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无</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8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知识产权奖励激励机制</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有</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无</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8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商业保密管理制度</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有</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无</w:t>
            </w:r>
          </w:p>
        </w:tc>
      </w:tr>
      <w:tr>
        <w:tblPrEx>
          <w:tblLayout w:type="fixed"/>
          <w:tblCellMar>
            <w:top w:w="0" w:type="dxa"/>
            <w:left w:w="57" w:type="dxa"/>
            <w:bottom w:w="0" w:type="dxa"/>
            <w:right w:w="57" w:type="dxa"/>
          </w:tblCellMar>
        </w:tblPrEx>
        <w:trPr>
          <w:trHeight w:val="624"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87"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hint="eastAsia" w:ascii="仿宋_GB2312" w:hAnsi="宋体" w:eastAsia="仿宋_GB2312" w:cs="宋体"/>
                <w:color w:val="000000"/>
                <w:sz w:val="24"/>
              </w:rPr>
              <w:t>竞业禁止制度</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有</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知</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识</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产</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权</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管</w:t>
            </w:r>
          </w:p>
          <w:p>
            <w:pPr>
              <w:jc w:val="center"/>
              <w:rPr>
                <w:rFonts w:ascii="仿宋_GB2312" w:hAnsi="宋体" w:eastAsia="仿宋_GB2312" w:cs="宋体"/>
                <w:b/>
                <w:bCs/>
                <w:color w:val="000000"/>
                <w:sz w:val="24"/>
              </w:rPr>
            </w:pPr>
            <w:r>
              <w:rPr>
                <w:rFonts w:hint="eastAsia" w:ascii="仿宋_GB2312" w:hAnsi="宋体" w:eastAsia="仿宋_GB2312" w:cs="宋体"/>
                <w:b/>
                <w:bCs/>
                <w:color w:val="000000"/>
                <w:sz w:val="24"/>
              </w:rPr>
              <w:t>理</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战略规划</w:t>
            </w:r>
          </w:p>
        </w:tc>
        <w:tc>
          <w:tcPr>
            <w:tcW w:w="4563"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劳动合同中是否有界定职务发明条款</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有</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4563"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签订合同时是否有约定知识产权权利归属和保护知识产权的条款</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有</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无</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4563"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是否制定了知识产权战略（规划）并纳入整体发展规划</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4563"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是否建立了企业职务发明人权益保护和奖励机制</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支撑体系</w:t>
            </w:r>
          </w:p>
        </w:tc>
        <w:tc>
          <w:tcPr>
            <w:tcW w:w="4563"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是否建立了内部专家评议机制或项目知识产权专员跟踪机制等</w:t>
            </w:r>
            <w:r>
              <w:rPr>
                <w:rFonts w:ascii="仿宋_GB2312" w:hAnsi="宋体" w:eastAsia="仿宋_GB2312" w:cs="宋体"/>
                <w:color w:val="000000"/>
                <w:sz w:val="24"/>
              </w:rPr>
              <w:t xml:space="preserve">  </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4563"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是否借助外部知识产权服务机构进行专利申请以外的专业化服务</w:t>
            </w:r>
            <w:r>
              <w:rPr>
                <w:rFonts w:ascii="仿宋_GB2312" w:hAnsi="宋体" w:eastAsia="仿宋_GB2312" w:cs="宋体"/>
                <w:color w:val="000000"/>
                <w:sz w:val="24"/>
              </w:rPr>
              <w:t xml:space="preserve">  </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4563"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近三年核心人员知识产权培训率</w:t>
            </w:r>
          </w:p>
          <w:p>
            <w:pPr>
              <w:spacing w:line="380" w:lineRule="exact"/>
              <w:rPr>
                <w:rFonts w:ascii="仿宋_GB2312" w:hAnsi="宋体" w:eastAsia="仿宋_GB2312" w:cs="宋体"/>
                <w:color w:val="000000"/>
                <w:sz w:val="24"/>
              </w:rPr>
            </w:pPr>
            <w:r>
              <w:rPr>
                <w:rFonts w:ascii="仿宋_GB2312" w:hAnsi="宋体" w:eastAsia="仿宋_GB2312" w:cs="宋体"/>
                <w:color w:val="000000"/>
                <w:sz w:val="24"/>
              </w:rPr>
              <w:t>(</w:t>
            </w:r>
            <w:r>
              <w:rPr>
                <w:rFonts w:hint="eastAsia" w:ascii="仿宋_GB2312" w:hAnsi="宋体" w:eastAsia="仿宋_GB2312" w:cs="宋体"/>
                <w:color w:val="000000"/>
                <w:sz w:val="24"/>
              </w:rPr>
              <w:t>核心人员包括企业管理人员、知识产权工作人员和研发人员。培训率为被培训核心人员占核心人员总数的比例。</w:t>
            </w:r>
            <w:r>
              <w:rPr>
                <w:rFonts w:ascii="仿宋_GB2312" w:hAnsi="宋体" w:eastAsia="仿宋_GB2312" w:cs="宋体"/>
                <w:color w:val="000000"/>
                <w:sz w:val="24"/>
              </w:rPr>
              <w:t>)</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sz w:val="24"/>
              </w:rPr>
              <w:t>重要成果</w:t>
            </w:r>
          </w:p>
        </w:tc>
        <w:tc>
          <w:tcPr>
            <w:tcW w:w="3374"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是否承担国家重大科技专项</w:t>
            </w:r>
          </w:p>
        </w:tc>
        <w:tc>
          <w:tcPr>
            <w:tcW w:w="3316"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ascii="仿宋_GB2312" w:hAnsi="宋体" w:eastAsia="仿宋_GB2312" w:cs="宋体"/>
                <w:color w:val="000000"/>
                <w:sz w:val="24"/>
              </w:rPr>
              <w:t>A.</w:t>
            </w:r>
            <w:r>
              <w:rPr>
                <w:rFonts w:hint="eastAsia" w:ascii="仿宋_GB2312" w:hAnsi="宋体" w:eastAsia="仿宋_GB2312" w:cs="宋体"/>
                <w:color w:val="000000"/>
                <w:sz w:val="24"/>
              </w:rPr>
              <w:t>是</w:t>
            </w:r>
            <w:r>
              <w:rPr>
                <w:rFonts w:ascii="仿宋_GB2312" w:hAnsi="宋体" w:eastAsia="仿宋_GB2312" w:cs="宋体"/>
                <w:color w:val="000000"/>
                <w:sz w:val="24"/>
              </w:rPr>
              <w:t xml:space="preserve">    B.</w:t>
            </w:r>
            <w:r>
              <w:rPr>
                <w:rFonts w:hint="eastAsia" w:ascii="仿宋_GB2312" w:hAnsi="宋体" w:eastAsia="仿宋_GB2312" w:cs="宋体"/>
                <w:color w:val="000000"/>
                <w:sz w:val="24"/>
              </w:rPr>
              <w:t>否</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74"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获得国家级专利奖情况</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r>
              <w:rPr>
                <w:rFonts w:ascii="仿宋_GB2312" w:hAnsi="宋体" w:eastAsia="仿宋_GB2312" w:cs="宋体"/>
                <w:color w:val="000000"/>
                <w:sz w:val="24"/>
              </w:rPr>
              <w:t>)</w:t>
            </w:r>
          </w:p>
        </w:tc>
        <w:tc>
          <w:tcPr>
            <w:tcW w:w="3316"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中国专利金奖</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）项</w:t>
            </w:r>
            <w:r>
              <w:rPr>
                <w:rFonts w:ascii="仿宋_GB2312" w:hAnsi="宋体" w:eastAsia="仿宋_GB2312" w:cs="宋体"/>
                <w:color w:val="000000"/>
                <w:sz w:val="24"/>
              </w:rPr>
              <w:br w:type="textWrapping"/>
            </w:r>
            <w:r>
              <w:rPr>
                <w:rFonts w:hint="eastAsia" w:ascii="仿宋_GB2312" w:hAnsi="宋体" w:eastAsia="仿宋_GB2312" w:cs="宋体"/>
                <w:color w:val="000000"/>
                <w:sz w:val="24"/>
              </w:rPr>
              <w:t>中国专利优秀奖</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）项</w:t>
            </w:r>
            <w:r>
              <w:rPr>
                <w:rFonts w:ascii="仿宋_GB2312" w:hAnsi="宋体" w:eastAsia="仿宋_GB2312" w:cs="宋体"/>
                <w:color w:val="000000"/>
                <w:sz w:val="24"/>
              </w:rPr>
              <w:br w:type="textWrapping"/>
            </w:r>
            <w:r>
              <w:rPr>
                <w:rFonts w:hint="eastAsia" w:ascii="仿宋_GB2312" w:hAnsi="宋体" w:eastAsia="仿宋_GB2312" w:cs="宋体"/>
                <w:color w:val="000000"/>
                <w:sz w:val="24"/>
              </w:rPr>
              <w:t>中国商标金奖</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）项</w:t>
            </w:r>
            <w:r>
              <w:rPr>
                <w:rFonts w:ascii="仿宋_GB2312" w:hAnsi="宋体" w:eastAsia="仿宋_GB2312" w:cs="宋体"/>
                <w:color w:val="000000"/>
                <w:sz w:val="24"/>
              </w:rPr>
              <w:br w:type="textWrapping"/>
            </w:r>
            <w:r>
              <w:rPr>
                <w:rFonts w:hint="eastAsia" w:ascii="仿宋_GB2312" w:hAnsi="宋体" w:eastAsia="仿宋_GB2312" w:cs="宋体"/>
                <w:color w:val="000000"/>
                <w:sz w:val="24"/>
              </w:rPr>
              <w:t>世界知识产权组织版权金奖（中国）</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）项</w:t>
            </w:r>
            <w:r>
              <w:rPr>
                <w:rFonts w:ascii="仿宋_GB2312" w:hAnsi="宋体" w:eastAsia="仿宋_GB2312" w:cs="宋体"/>
                <w:color w:val="000000"/>
                <w:sz w:val="24"/>
              </w:rPr>
              <w:br w:type="textWrapping"/>
            </w:r>
            <w:r>
              <w:rPr>
                <w:rFonts w:hint="eastAsia" w:ascii="仿宋_GB2312" w:hAnsi="宋体" w:eastAsia="仿宋_GB2312" w:cs="宋体"/>
                <w:color w:val="000000"/>
                <w:sz w:val="24"/>
              </w:rPr>
              <w:t>国家技术发明奖</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）项；</w:t>
            </w:r>
          </w:p>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省级知识产权奖励是指省级政府设立的知识产权奖励，不含省级政府下属部门或单位颁发的奖项。</w:t>
            </w:r>
            <w:r>
              <w:rPr>
                <w:rFonts w:ascii="仿宋_GB2312" w:hAnsi="宋体" w:eastAsia="仿宋_GB2312" w:cs="宋体"/>
                <w:color w:val="000000"/>
                <w:sz w:val="24"/>
              </w:rPr>
              <w:br w:type="textWrapping"/>
            </w:r>
            <w:r>
              <w:rPr>
                <w:rFonts w:hint="eastAsia" w:ascii="仿宋_GB2312" w:hAnsi="宋体" w:eastAsia="仿宋_GB2312" w:cs="宋体"/>
                <w:color w:val="000000"/>
                <w:sz w:val="24"/>
              </w:rPr>
              <w:t>省级政府奖励（</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）项，名称（</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p>
        </w:tc>
      </w:tr>
      <w:tr>
        <w:tblPrEx>
          <w:tblLayout w:type="fixed"/>
          <w:tblCellMar>
            <w:top w:w="0" w:type="dxa"/>
            <w:left w:w="57" w:type="dxa"/>
            <w:bottom w:w="0" w:type="dxa"/>
            <w:right w:w="57" w:type="dxa"/>
          </w:tblCellMar>
        </w:tblPrEx>
        <w:trPr>
          <w:trHeight w:val="397" w:hRule="atLeast"/>
          <w:jc w:val="center"/>
        </w:trPr>
        <w:tc>
          <w:tcPr>
            <w:tcW w:w="61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z w:val="24"/>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24"/>
              </w:rPr>
            </w:pPr>
          </w:p>
        </w:tc>
        <w:tc>
          <w:tcPr>
            <w:tcW w:w="3374"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积极主导或参与标准制定</w:t>
            </w:r>
            <w:r>
              <w:rPr>
                <w:rFonts w:ascii="仿宋_GB2312" w:hAnsi="宋体" w:eastAsia="仿宋_GB2312" w:cs="宋体"/>
                <w:color w:val="000000"/>
                <w:sz w:val="24"/>
              </w:rPr>
              <w:t xml:space="preserve">  </w:t>
            </w:r>
          </w:p>
        </w:tc>
        <w:tc>
          <w:tcPr>
            <w:tcW w:w="3316"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国家标准</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项</w:t>
            </w:r>
          </w:p>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行业标准</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项</w:t>
            </w:r>
          </w:p>
          <w:p>
            <w:pPr>
              <w:spacing w:line="380" w:lineRule="exact"/>
              <w:rPr>
                <w:rFonts w:ascii="仿宋_GB2312" w:hAnsi="宋体" w:eastAsia="仿宋_GB2312" w:cs="宋体"/>
                <w:color w:val="000000"/>
                <w:sz w:val="24"/>
              </w:rPr>
            </w:pPr>
            <w:r>
              <w:rPr>
                <w:rFonts w:hint="eastAsia" w:ascii="仿宋_GB2312" w:hAnsi="宋体" w:eastAsia="仿宋_GB2312" w:cs="宋体"/>
                <w:color w:val="000000"/>
                <w:sz w:val="24"/>
              </w:rPr>
              <w:t>国际标准</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项</w:t>
            </w:r>
          </w:p>
        </w:tc>
      </w:tr>
    </w:tbl>
    <w:p>
      <w:pPr>
        <w:spacing w:before="240" w:line="660" w:lineRule="exact"/>
      </w:pPr>
    </w:p>
    <w:p>
      <w:pPr>
        <w:spacing w:before="240" w:line="660" w:lineRule="exact"/>
        <w:jc w:val="center"/>
        <w:rPr>
          <w:rFonts w:hint="eastAsia" w:ascii="方正小标宋简体" w:eastAsia="方正小标宋简体"/>
          <w:sz w:val="44"/>
          <w:szCs w:val="44"/>
        </w:rPr>
      </w:pPr>
    </w:p>
    <w:p>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国家</w:t>
      </w:r>
      <w:bookmarkStart w:id="0" w:name="_GoBack"/>
      <w:bookmarkEnd w:id="0"/>
      <w:r>
        <w:rPr>
          <w:rFonts w:hint="eastAsia" w:ascii="方正小标宋简体" w:eastAsia="方正小标宋简体"/>
          <w:sz w:val="44"/>
          <w:szCs w:val="44"/>
        </w:rPr>
        <w:t>知识产权示范企业复核书</w:t>
      </w:r>
      <w:r>
        <w:rPr>
          <w:rFonts w:hint="eastAsia" w:ascii="楷体_GB2312" w:eastAsia="楷体_GB2312"/>
          <w:sz w:val="36"/>
          <w:szCs w:val="36"/>
        </w:rPr>
        <w:t>（表二）</w:t>
      </w:r>
    </w:p>
    <w:p>
      <w:pPr>
        <w:spacing w:line="300" w:lineRule="exact"/>
        <w:ind w:firstLine="640" w:firstLineChars="200"/>
        <w:rPr>
          <w:rFonts w:ascii="仿宋_GB2312" w:hAnsi="宋体" w:eastAsia="仿宋_GB2312" w:cs="宋体"/>
          <w:sz w:val="32"/>
          <w:szCs w:val="32"/>
        </w:rPr>
      </w:pPr>
    </w:p>
    <w:tbl>
      <w:tblPr>
        <w:tblStyle w:val="35"/>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66"/>
        <w:gridCol w:w="1807"/>
        <w:gridCol w:w="4230"/>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shd w:val="clear" w:color="auto" w:fill="auto"/>
            <w:vAlign w:val="center"/>
          </w:tcPr>
          <w:p>
            <w:pPr>
              <w:jc w:val="center"/>
              <w:rPr>
                <w:rFonts w:ascii="黑体" w:hAnsi="宋体" w:eastAsia="黑体" w:cs="宋体"/>
                <w:bCs/>
                <w:color w:val="000000"/>
                <w:kern w:val="0"/>
                <w:sz w:val="24"/>
              </w:rPr>
            </w:pPr>
            <w:r>
              <w:rPr>
                <w:rFonts w:hint="eastAsia" w:ascii="黑体" w:hAnsi="宋体" w:eastAsia="黑体" w:cs="宋体"/>
                <w:bCs/>
                <w:color w:val="000000"/>
                <w:kern w:val="0"/>
                <w:sz w:val="24"/>
              </w:rPr>
              <w:t>一级指标</w:t>
            </w:r>
          </w:p>
          <w:p>
            <w:pPr>
              <w:jc w:val="center"/>
              <w:rPr>
                <w:rFonts w:ascii="黑体" w:eastAsia="黑体" w:cs="宋体"/>
                <w:bCs/>
                <w:color w:val="000000"/>
                <w:kern w:val="0"/>
                <w:sz w:val="24"/>
              </w:rPr>
            </w:pPr>
            <w:r>
              <w:rPr>
                <w:rFonts w:hint="eastAsia" w:ascii="黑体" w:hAnsi="宋体" w:eastAsia="黑体" w:cs="宋体"/>
                <w:bCs/>
                <w:color w:val="000000"/>
                <w:kern w:val="0"/>
                <w:sz w:val="24"/>
              </w:rPr>
              <w:t>及权重</w:t>
            </w:r>
          </w:p>
        </w:tc>
        <w:tc>
          <w:tcPr>
            <w:tcW w:w="1807" w:type="dxa"/>
            <w:shd w:val="clear" w:color="auto" w:fill="auto"/>
            <w:vAlign w:val="center"/>
          </w:tcPr>
          <w:p>
            <w:pPr>
              <w:jc w:val="center"/>
              <w:rPr>
                <w:rFonts w:ascii="黑体" w:eastAsia="黑体" w:cs="宋体"/>
                <w:bCs/>
                <w:color w:val="000000"/>
                <w:kern w:val="0"/>
                <w:sz w:val="24"/>
              </w:rPr>
            </w:pPr>
            <w:r>
              <w:rPr>
                <w:rFonts w:hint="eastAsia" w:ascii="黑体" w:hAnsi="宋体" w:eastAsia="黑体" w:cs="宋体"/>
                <w:bCs/>
                <w:color w:val="000000"/>
                <w:kern w:val="0"/>
                <w:sz w:val="24"/>
              </w:rPr>
              <w:t>二级指标</w:t>
            </w:r>
          </w:p>
        </w:tc>
        <w:tc>
          <w:tcPr>
            <w:tcW w:w="4230" w:type="dxa"/>
            <w:shd w:val="clear" w:color="auto" w:fill="auto"/>
            <w:vAlign w:val="center"/>
          </w:tcPr>
          <w:p>
            <w:pPr>
              <w:jc w:val="center"/>
              <w:rPr>
                <w:rFonts w:ascii="黑体" w:eastAsia="黑体" w:cs="宋体"/>
                <w:bCs/>
                <w:color w:val="000000"/>
                <w:kern w:val="0"/>
                <w:sz w:val="24"/>
              </w:rPr>
            </w:pPr>
            <w:r>
              <w:rPr>
                <w:rFonts w:hint="eastAsia" w:ascii="黑体" w:hAnsi="宋体" w:eastAsia="黑体" w:cs="宋体"/>
                <w:bCs/>
                <w:color w:val="000000"/>
                <w:kern w:val="0"/>
                <w:sz w:val="24"/>
              </w:rPr>
              <w:t>考察要点</w:t>
            </w:r>
          </w:p>
        </w:tc>
        <w:tc>
          <w:tcPr>
            <w:tcW w:w="2397" w:type="dxa"/>
            <w:shd w:val="clear" w:color="auto" w:fill="auto"/>
            <w:vAlign w:val="center"/>
          </w:tcPr>
          <w:p>
            <w:pPr>
              <w:jc w:val="center"/>
              <w:rPr>
                <w:rFonts w:ascii="黑体" w:eastAsia="黑体" w:cs="宋体"/>
                <w:bCs/>
                <w:color w:val="000000"/>
                <w:kern w:val="0"/>
                <w:sz w:val="24"/>
              </w:rPr>
            </w:pPr>
            <w:r>
              <w:rPr>
                <w:rFonts w:hint="eastAsia" w:ascii="黑体" w:eastAsia="黑体" w:cs="宋体"/>
                <w:bCs/>
                <w:color w:val="000000"/>
                <w:kern w:val="0"/>
                <w:sz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restart"/>
            <w:shd w:val="clear" w:color="auto" w:fill="auto"/>
            <w:vAlign w:val="center"/>
          </w:tcPr>
          <w:p>
            <w:pPr>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知识产权</w:t>
            </w:r>
          </w:p>
          <w:p>
            <w:pPr>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战略管理</w:t>
            </w:r>
          </w:p>
          <w:p>
            <w:pPr>
              <w:jc w:val="center"/>
              <w:rPr>
                <w:rFonts w:ascii="楷体_GB2312" w:eastAsia="楷体_GB2312" w:cs="宋体"/>
                <w:b/>
                <w:color w:val="000000"/>
                <w:kern w:val="0"/>
                <w:sz w:val="24"/>
              </w:rPr>
            </w:pPr>
            <w:r>
              <w:rPr>
                <w:rFonts w:hint="eastAsia" w:ascii="楷体_GB2312" w:hAnsi="宋体" w:eastAsia="楷体_GB2312" w:cs="宋体"/>
                <w:b/>
                <w:color w:val="000000"/>
                <w:kern w:val="0"/>
                <w:sz w:val="24"/>
              </w:rPr>
              <w:t>能力</w:t>
            </w:r>
          </w:p>
        </w:tc>
        <w:tc>
          <w:tcPr>
            <w:tcW w:w="1807" w:type="dxa"/>
            <w:vMerge w:val="restart"/>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1.战略层面规划知识产权工作</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1.建立了与企业整体发展相匹配的知识产权战略规划。</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continue"/>
            <w:shd w:val="clear" w:color="auto" w:fill="auto"/>
            <w:vAlign w:val="center"/>
          </w:tcPr>
          <w:p>
            <w:pPr>
              <w:jc w:val="center"/>
              <w:rPr>
                <w:rFonts w:ascii="楷体_GB2312" w:hAnsi="宋体" w:eastAsia="楷体_GB2312" w:cs="宋体"/>
                <w:b/>
                <w:color w:val="000000"/>
                <w:kern w:val="0"/>
                <w:sz w:val="24"/>
              </w:rPr>
            </w:pPr>
          </w:p>
        </w:tc>
        <w:tc>
          <w:tcPr>
            <w:tcW w:w="1807" w:type="dxa"/>
            <w:vMerge w:val="continue"/>
            <w:shd w:val="clear" w:color="auto" w:fill="auto"/>
            <w:vAlign w:val="center"/>
          </w:tcPr>
          <w:p>
            <w:pPr>
              <w:rPr>
                <w:rFonts w:ascii="仿宋_GB2312" w:hAnsi="宋体" w:eastAsia="仿宋_GB2312" w:cs="宋体"/>
                <w:color w:val="000000"/>
                <w:kern w:val="0"/>
                <w:sz w:val="24"/>
              </w:rPr>
            </w:pP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2．建立了专利导航决策机制，引导企业重大决策。</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3" w:hRule="atLeast"/>
          <w:jc w:val="center"/>
        </w:trPr>
        <w:tc>
          <w:tcPr>
            <w:tcW w:w="1266" w:type="dxa"/>
            <w:vMerge w:val="continue"/>
            <w:shd w:val="clear" w:color="auto" w:fill="auto"/>
            <w:vAlign w:val="center"/>
          </w:tcPr>
          <w:p>
            <w:pPr>
              <w:jc w:val="center"/>
              <w:rPr>
                <w:rFonts w:ascii="楷体_GB2312" w:eastAsia="楷体_GB2312" w:cs="宋体"/>
                <w:b/>
                <w:color w:val="000000"/>
                <w:kern w:val="0"/>
                <w:sz w:val="24"/>
              </w:rPr>
            </w:pPr>
          </w:p>
        </w:tc>
        <w:tc>
          <w:tcPr>
            <w:tcW w:w="1807"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2.较高的知识产权信息化管理水平</w:t>
            </w:r>
          </w:p>
        </w:tc>
        <w:tc>
          <w:tcPr>
            <w:tcW w:w="4230" w:type="dxa"/>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3. 具有企业专利数据库，建立知识产权信息化管理平台，有效管理企业知识产权。</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266" w:type="dxa"/>
            <w:vMerge w:val="restart"/>
            <w:shd w:val="clear" w:color="auto" w:fill="auto"/>
            <w:vAlign w:val="center"/>
          </w:tcPr>
          <w:p>
            <w:pPr>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知识产权</w:t>
            </w:r>
          </w:p>
          <w:p>
            <w:pPr>
              <w:jc w:val="center"/>
              <w:rPr>
                <w:rFonts w:ascii="楷体_GB2312" w:eastAsia="楷体_GB2312" w:cs="宋体"/>
                <w:b/>
                <w:color w:val="000000"/>
                <w:kern w:val="0"/>
                <w:sz w:val="24"/>
              </w:rPr>
            </w:pPr>
            <w:r>
              <w:rPr>
                <w:rFonts w:hint="eastAsia" w:ascii="楷体_GB2312" w:hAnsi="宋体" w:eastAsia="楷体_GB2312" w:cs="宋体"/>
                <w:b/>
                <w:color w:val="000000"/>
                <w:kern w:val="0"/>
                <w:sz w:val="24"/>
              </w:rPr>
              <w:t>创造能力</w:t>
            </w:r>
          </w:p>
        </w:tc>
        <w:tc>
          <w:tcPr>
            <w:tcW w:w="1807" w:type="dxa"/>
            <w:vMerge w:val="restart"/>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3.具有行业优势的专利全球布局</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4.建立海外专利布局机制并实施。</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continue"/>
            <w:shd w:val="clear" w:color="auto" w:fill="auto"/>
            <w:vAlign w:val="center"/>
          </w:tcPr>
          <w:p>
            <w:pPr>
              <w:jc w:val="center"/>
              <w:rPr>
                <w:rFonts w:ascii="楷体_GB2312" w:hAnsi="宋体" w:eastAsia="楷体_GB2312" w:cs="宋体"/>
                <w:b/>
                <w:color w:val="000000"/>
                <w:kern w:val="0"/>
                <w:sz w:val="24"/>
              </w:rPr>
            </w:pPr>
          </w:p>
        </w:tc>
        <w:tc>
          <w:tcPr>
            <w:tcW w:w="1807" w:type="dxa"/>
            <w:vMerge w:val="continue"/>
            <w:shd w:val="clear" w:color="auto" w:fill="auto"/>
            <w:vAlign w:val="center"/>
          </w:tcPr>
          <w:p>
            <w:pPr>
              <w:rPr>
                <w:rFonts w:ascii="仿宋_GB2312" w:hAnsi="宋体" w:eastAsia="仿宋_GB2312" w:cs="宋体"/>
                <w:color w:val="000000"/>
                <w:kern w:val="0"/>
                <w:sz w:val="24"/>
              </w:rPr>
            </w:pPr>
          </w:p>
        </w:tc>
        <w:tc>
          <w:tcPr>
            <w:tcW w:w="4230" w:type="dxa"/>
            <w:shd w:val="clear" w:color="auto" w:fill="auto"/>
            <w:vAlign w:val="center"/>
          </w:tcPr>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5.在其他国家或地区的有效专利或其他知识产权储备在本行业内名列前茅。</w:t>
            </w:r>
          </w:p>
        </w:tc>
        <w:tc>
          <w:tcPr>
            <w:tcW w:w="2397" w:type="dxa"/>
            <w:shd w:val="clear" w:color="auto" w:fill="auto"/>
            <w:vAlign w:val="center"/>
          </w:tcPr>
          <w:p>
            <w:pPr>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continue"/>
            <w:shd w:val="clear" w:color="auto" w:fill="auto"/>
            <w:vAlign w:val="center"/>
          </w:tcPr>
          <w:p>
            <w:pPr>
              <w:jc w:val="center"/>
              <w:rPr>
                <w:rFonts w:ascii="楷体_GB2312" w:eastAsia="楷体_GB2312" w:cs="宋体"/>
                <w:b/>
                <w:color w:val="000000"/>
                <w:kern w:val="0"/>
                <w:sz w:val="24"/>
              </w:rPr>
            </w:pPr>
          </w:p>
        </w:tc>
        <w:tc>
          <w:tcPr>
            <w:tcW w:w="1807"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4.科学的知识产权激励机制</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6.建立知识产权入股、股权和分红权等形式的激励机制。</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restart"/>
            <w:shd w:val="clear" w:color="auto" w:fill="auto"/>
            <w:vAlign w:val="center"/>
          </w:tcPr>
          <w:p>
            <w:pPr>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知识产权</w:t>
            </w:r>
          </w:p>
          <w:p>
            <w:pPr>
              <w:jc w:val="center"/>
              <w:rPr>
                <w:rFonts w:ascii="楷体_GB2312" w:eastAsia="楷体_GB2312" w:cs="宋体"/>
                <w:b/>
                <w:color w:val="000000"/>
                <w:kern w:val="0"/>
                <w:sz w:val="24"/>
              </w:rPr>
            </w:pPr>
            <w:r>
              <w:rPr>
                <w:rFonts w:hint="eastAsia" w:ascii="楷体_GB2312" w:hAnsi="宋体" w:eastAsia="楷体_GB2312" w:cs="宋体"/>
                <w:b/>
                <w:color w:val="000000"/>
                <w:kern w:val="0"/>
                <w:sz w:val="24"/>
              </w:rPr>
              <w:t>运营能力</w:t>
            </w:r>
          </w:p>
        </w:tc>
        <w:tc>
          <w:tcPr>
            <w:tcW w:w="1807"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5.专利运营机制有效运行</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7.依托专利分析等手段，建立专利运营机制。</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continue"/>
            <w:shd w:val="clear" w:color="auto" w:fill="auto"/>
            <w:vAlign w:val="center"/>
          </w:tcPr>
          <w:p>
            <w:pPr>
              <w:jc w:val="center"/>
              <w:rPr>
                <w:rFonts w:ascii="楷体_GB2312" w:eastAsia="楷体_GB2312" w:cs="宋体"/>
                <w:b/>
                <w:color w:val="000000"/>
                <w:kern w:val="0"/>
                <w:sz w:val="24"/>
              </w:rPr>
            </w:pPr>
          </w:p>
        </w:tc>
        <w:tc>
          <w:tcPr>
            <w:tcW w:w="1807" w:type="dxa"/>
            <w:vMerge w:val="restart"/>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6.知识产权与资本市场的对接</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8.专利产品销售额占企业产品总销售额的比例较大。</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continue"/>
            <w:shd w:val="clear" w:color="auto" w:fill="auto"/>
            <w:vAlign w:val="center"/>
          </w:tcPr>
          <w:p>
            <w:pPr>
              <w:jc w:val="center"/>
              <w:rPr>
                <w:rFonts w:ascii="楷体_GB2312" w:eastAsia="楷体_GB2312" w:cs="宋体"/>
                <w:b/>
                <w:color w:val="000000"/>
                <w:kern w:val="0"/>
                <w:sz w:val="24"/>
              </w:rPr>
            </w:pPr>
          </w:p>
        </w:tc>
        <w:tc>
          <w:tcPr>
            <w:tcW w:w="1807" w:type="dxa"/>
            <w:vMerge w:val="continue"/>
            <w:shd w:val="clear" w:color="auto" w:fill="auto"/>
            <w:vAlign w:val="center"/>
          </w:tcPr>
          <w:p>
            <w:pPr>
              <w:rPr>
                <w:rFonts w:ascii="仿宋_GB2312" w:eastAsia="仿宋_GB2312" w:cs="宋体"/>
                <w:color w:val="000000"/>
                <w:kern w:val="0"/>
                <w:sz w:val="24"/>
              </w:rPr>
            </w:pP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9.通过知识产权转让、许可等各种途径，拓宽企业知识产权价值实现渠道。</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continue"/>
            <w:shd w:val="clear" w:color="auto" w:fill="auto"/>
            <w:vAlign w:val="center"/>
          </w:tcPr>
          <w:p>
            <w:pPr>
              <w:jc w:val="center"/>
              <w:rPr>
                <w:rFonts w:ascii="楷体_GB2312" w:eastAsia="楷体_GB2312" w:cs="宋体"/>
                <w:b/>
                <w:color w:val="000000"/>
                <w:kern w:val="0"/>
                <w:sz w:val="24"/>
              </w:rPr>
            </w:pPr>
          </w:p>
        </w:tc>
        <w:tc>
          <w:tcPr>
            <w:tcW w:w="1807" w:type="dxa"/>
            <w:vMerge w:val="restart"/>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7.知识产权产业协作积极开展</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10.牵头组建或加入专利运用协同体，实现协同发展。</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266" w:type="dxa"/>
            <w:vMerge w:val="continue"/>
            <w:shd w:val="clear" w:color="auto" w:fill="auto"/>
            <w:vAlign w:val="center"/>
          </w:tcPr>
          <w:p>
            <w:pPr>
              <w:jc w:val="center"/>
              <w:rPr>
                <w:rFonts w:ascii="楷体_GB2312" w:eastAsia="楷体_GB2312" w:cs="宋体"/>
                <w:b/>
                <w:color w:val="000000"/>
                <w:kern w:val="0"/>
                <w:sz w:val="24"/>
              </w:rPr>
            </w:pPr>
          </w:p>
        </w:tc>
        <w:tc>
          <w:tcPr>
            <w:tcW w:w="1807" w:type="dxa"/>
            <w:vMerge w:val="continue"/>
            <w:shd w:val="clear" w:color="auto" w:fill="auto"/>
            <w:vAlign w:val="center"/>
          </w:tcPr>
          <w:p>
            <w:pPr>
              <w:rPr>
                <w:rFonts w:ascii="仿宋_GB2312" w:eastAsia="仿宋_GB2312" w:cs="宋体"/>
                <w:color w:val="000000"/>
                <w:kern w:val="0"/>
                <w:sz w:val="24"/>
              </w:rPr>
            </w:pP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11.牵头组建或加入专利联盟。</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continue"/>
            <w:shd w:val="clear" w:color="auto" w:fill="auto"/>
            <w:vAlign w:val="center"/>
          </w:tcPr>
          <w:p>
            <w:pPr>
              <w:jc w:val="center"/>
              <w:rPr>
                <w:rFonts w:ascii="楷体_GB2312" w:eastAsia="楷体_GB2312" w:cs="宋体"/>
                <w:b/>
                <w:color w:val="000000"/>
                <w:kern w:val="0"/>
                <w:sz w:val="24"/>
              </w:rPr>
            </w:pPr>
          </w:p>
        </w:tc>
        <w:tc>
          <w:tcPr>
            <w:tcW w:w="1807"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8.积极参与知识产权标准化</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12.参与国际标准制定。</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restart"/>
            <w:shd w:val="clear" w:color="auto" w:fill="auto"/>
            <w:vAlign w:val="center"/>
          </w:tcPr>
          <w:p>
            <w:pPr>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知识产权</w:t>
            </w:r>
          </w:p>
          <w:p>
            <w:pPr>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维权保护</w:t>
            </w:r>
          </w:p>
          <w:p>
            <w:pPr>
              <w:jc w:val="center"/>
              <w:rPr>
                <w:rFonts w:ascii="楷体_GB2312" w:eastAsia="楷体_GB2312" w:cs="宋体"/>
                <w:b/>
                <w:color w:val="000000"/>
                <w:kern w:val="0"/>
                <w:sz w:val="24"/>
              </w:rPr>
            </w:pPr>
            <w:r>
              <w:rPr>
                <w:rFonts w:hint="eastAsia" w:ascii="楷体_GB2312" w:hAnsi="宋体" w:eastAsia="楷体_GB2312" w:cs="宋体"/>
                <w:b/>
                <w:color w:val="000000"/>
                <w:kern w:val="0"/>
                <w:sz w:val="24"/>
              </w:rPr>
              <w:t>能力</w:t>
            </w:r>
          </w:p>
        </w:tc>
        <w:tc>
          <w:tcPr>
            <w:tcW w:w="1807" w:type="dxa"/>
            <w:vMerge w:val="restart"/>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9.有效管控知识产权风险</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13.建立贯穿生产经营全流程的知识产权侵权预警机制和风险监控机制。</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jc w:val="center"/>
        </w:trPr>
        <w:tc>
          <w:tcPr>
            <w:tcW w:w="1266" w:type="dxa"/>
            <w:vMerge w:val="continue"/>
            <w:shd w:val="clear" w:color="auto" w:fill="auto"/>
            <w:vAlign w:val="center"/>
          </w:tcPr>
          <w:p>
            <w:pPr>
              <w:jc w:val="center"/>
              <w:rPr>
                <w:rFonts w:ascii="仿宋_GB2312" w:eastAsia="仿宋_GB2312" w:cs="宋体"/>
                <w:color w:val="000000"/>
                <w:kern w:val="0"/>
                <w:sz w:val="24"/>
              </w:rPr>
            </w:pPr>
          </w:p>
        </w:tc>
        <w:tc>
          <w:tcPr>
            <w:tcW w:w="1807" w:type="dxa"/>
            <w:vMerge w:val="continue"/>
            <w:shd w:val="clear" w:color="auto" w:fill="auto"/>
            <w:vAlign w:val="center"/>
          </w:tcPr>
          <w:p>
            <w:pPr>
              <w:rPr>
                <w:rFonts w:ascii="仿宋_GB2312" w:eastAsia="仿宋_GB2312" w:cs="宋体"/>
                <w:color w:val="000000"/>
                <w:kern w:val="0"/>
                <w:sz w:val="24"/>
              </w:rPr>
            </w:pP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14.定期开展知识产权风险测评。</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3" w:hRule="atLeast"/>
          <w:jc w:val="center"/>
        </w:trPr>
        <w:tc>
          <w:tcPr>
            <w:tcW w:w="1266" w:type="dxa"/>
            <w:vMerge w:val="continue"/>
            <w:shd w:val="clear" w:color="auto" w:fill="auto"/>
            <w:vAlign w:val="center"/>
          </w:tcPr>
          <w:p>
            <w:pPr>
              <w:jc w:val="left"/>
              <w:rPr>
                <w:rFonts w:ascii="仿宋_GB2312" w:eastAsia="仿宋_GB2312" w:cs="宋体"/>
                <w:color w:val="000000"/>
                <w:kern w:val="0"/>
                <w:sz w:val="24"/>
              </w:rPr>
            </w:pPr>
          </w:p>
        </w:tc>
        <w:tc>
          <w:tcPr>
            <w:tcW w:w="1807"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10.尊重他人知识产权</w:t>
            </w:r>
          </w:p>
        </w:tc>
        <w:tc>
          <w:tcPr>
            <w:tcW w:w="4230" w:type="dxa"/>
            <w:shd w:val="clear" w:color="auto" w:fill="auto"/>
            <w:vAlign w:val="center"/>
          </w:tcPr>
          <w:p>
            <w:pPr>
              <w:tabs>
                <w:tab w:val="left" w:pos="2157"/>
              </w:tabs>
              <w:rPr>
                <w:rFonts w:ascii="仿宋_GB2312" w:eastAsia="仿宋_GB2312" w:cs="宋体"/>
                <w:color w:val="000000"/>
                <w:kern w:val="0"/>
                <w:sz w:val="24"/>
              </w:rPr>
            </w:pPr>
            <w:r>
              <w:rPr>
                <w:rFonts w:hint="eastAsia" w:ascii="仿宋_GB2312" w:hAnsi="宋体" w:eastAsia="仿宋_GB2312" w:cs="宋体"/>
                <w:color w:val="000000"/>
                <w:kern w:val="0"/>
                <w:sz w:val="24"/>
              </w:rPr>
              <w:t>15.通过开展知识产权尽职调查、获得知识产权许可等方式，避免主观恶意侵犯他人知识产权。</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9" w:hRule="atLeast"/>
          <w:jc w:val="center"/>
        </w:trPr>
        <w:tc>
          <w:tcPr>
            <w:tcW w:w="1266" w:type="dxa"/>
            <w:vMerge w:val="continue"/>
            <w:shd w:val="clear" w:color="auto" w:fill="auto"/>
            <w:vAlign w:val="center"/>
          </w:tcPr>
          <w:p>
            <w:pPr>
              <w:jc w:val="left"/>
              <w:rPr>
                <w:rFonts w:ascii="仿宋_GB2312" w:eastAsia="仿宋_GB2312" w:cs="宋体"/>
                <w:color w:val="000000"/>
                <w:kern w:val="0"/>
                <w:sz w:val="24"/>
              </w:rPr>
            </w:pPr>
          </w:p>
        </w:tc>
        <w:tc>
          <w:tcPr>
            <w:tcW w:w="1807"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11.参与行业性专利纠纷处理</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16.推动建立行业知识产权维权协作机制，参与行业专利纠纷处置。</w:t>
            </w:r>
          </w:p>
        </w:tc>
        <w:tc>
          <w:tcPr>
            <w:tcW w:w="2397" w:type="dxa"/>
            <w:shd w:val="clear" w:color="auto" w:fill="auto"/>
            <w:vAlign w:val="center"/>
          </w:tcPr>
          <w:p>
            <w:pPr>
              <w:jc w:val="center"/>
              <w:rPr>
                <w:rFonts w:ascii="仿宋_GB2312"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8" w:hRule="atLeast"/>
          <w:jc w:val="center"/>
        </w:trPr>
        <w:tc>
          <w:tcPr>
            <w:tcW w:w="1266" w:type="dxa"/>
            <w:vMerge w:val="continue"/>
            <w:shd w:val="clear" w:color="auto" w:fill="auto"/>
            <w:vAlign w:val="center"/>
          </w:tcPr>
          <w:p>
            <w:pPr>
              <w:jc w:val="left"/>
              <w:rPr>
                <w:rFonts w:ascii="仿宋_GB2312" w:eastAsia="仿宋_GB2312" w:cs="宋体"/>
                <w:color w:val="000000"/>
                <w:kern w:val="0"/>
                <w:sz w:val="24"/>
              </w:rPr>
            </w:pPr>
          </w:p>
        </w:tc>
        <w:tc>
          <w:tcPr>
            <w:tcW w:w="1807" w:type="dxa"/>
            <w:shd w:val="clear" w:color="auto" w:fill="auto"/>
            <w:vAlign w:val="center"/>
          </w:tcPr>
          <w:p>
            <w:pPr>
              <w:rPr>
                <w:rFonts w:ascii="仿宋_GB2312" w:eastAsia="仿宋_GB2312" w:cs="宋体"/>
                <w:color w:val="000000"/>
                <w:spacing w:val="-12"/>
                <w:kern w:val="0"/>
                <w:sz w:val="24"/>
              </w:rPr>
            </w:pPr>
            <w:r>
              <w:rPr>
                <w:rFonts w:hint="eastAsia" w:ascii="仿宋_GB2312" w:hAnsi="宋体" w:eastAsia="仿宋_GB2312" w:cs="宋体"/>
                <w:color w:val="000000"/>
                <w:spacing w:val="-12"/>
                <w:kern w:val="0"/>
                <w:sz w:val="24"/>
              </w:rPr>
              <w:t>12. 解决国内外知识产权争端</w:t>
            </w:r>
          </w:p>
        </w:tc>
        <w:tc>
          <w:tcPr>
            <w:tcW w:w="4230" w:type="dxa"/>
            <w:shd w:val="clear" w:color="auto" w:fill="auto"/>
            <w:vAlign w:val="center"/>
          </w:tcPr>
          <w:p>
            <w:pPr>
              <w:rPr>
                <w:rFonts w:ascii="仿宋_GB2312" w:eastAsia="仿宋_GB2312" w:cs="宋体"/>
                <w:color w:val="000000"/>
                <w:kern w:val="0"/>
                <w:sz w:val="24"/>
              </w:rPr>
            </w:pPr>
            <w:r>
              <w:rPr>
                <w:rFonts w:hint="eastAsia" w:ascii="仿宋_GB2312" w:hAnsi="宋体" w:eastAsia="仿宋_GB2312" w:cs="宋体"/>
                <w:color w:val="000000"/>
                <w:kern w:val="0"/>
                <w:sz w:val="24"/>
              </w:rPr>
              <w:t>17.编制并适时调整企业知识产权争端解决预案。</w:t>
            </w:r>
          </w:p>
        </w:tc>
        <w:tc>
          <w:tcPr>
            <w:tcW w:w="2397" w:type="dxa"/>
            <w:shd w:val="clear" w:color="auto" w:fill="auto"/>
            <w:vAlign w:val="center"/>
          </w:tcPr>
          <w:p>
            <w:pPr>
              <w:jc w:val="center"/>
              <w:rPr>
                <w:rFonts w:ascii="仿宋_GB2312" w:eastAsia="仿宋_GB2312" w:cs="宋体"/>
                <w:color w:val="000000"/>
                <w:kern w:val="0"/>
                <w:sz w:val="24"/>
              </w:rPr>
            </w:pPr>
          </w:p>
        </w:tc>
      </w:tr>
    </w:tbl>
    <w:p>
      <w:pPr>
        <w:spacing w:before="240" w:line="660" w:lineRule="exact"/>
      </w:pPr>
    </w:p>
    <w:sectPr>
      <w:pgSz w:w="11906" w:h="16838"/>
      <w:pgMar w:top="2155"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ivers (W1)">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81FA6"/>
    <w:multiLevelType w:val="multilevel"/>
    <w:tmpl w:val="65A81FA6"/>
    <w:lvl w:ilvl="0" w:tentative="0">
      <w:start w:val="1"/>
      <w:numFmt w:val="decimal"/>
      <w:pStyle w:val="87"/>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EC"/>
    <w:rsid w:val="0003215A"/>
    <w:rsid w:val="000964AE"/>
    <w:rsid w:val="000F28E2"/>
    <w:rsid w:val="00107E35"/>
    <w:rsid w:val="001A43CD"/>
    <w:rsid w:val="003D1944"/>
    <w:rsid w:val="00417C3D"/>
    <w:rsid w:val="005C50E8"/>
    <w:rsid w:val="00653D1A"/>
    <w:rsid w:val="006578AC"/>
    <w:rsid w:val="00672665"/>
    <w:rsid w:val="0083238F"/>
    <w:rsid w:val="00962283"/>
    <w:rsid w:val="009A345F"/>
    <w:rsid w:val="009E37EC"/>
    <w:rsid w:val="009F0323"/>
    <w:rsid w:val="009F196C"/>
    <w:rsid w:val="00AA44B9"/>
    <w:rsid w:val="00B403F8"/>
    <w:rsid w:val="00B512A5"/>
    <w:rsid w:val="00B8186F"/>
    <w:rsid w:val="00C07D04"/>
    <w:rsid w:val="00C132BF"/>
    <w:rsid w:val="00DC2BDC"/>
    <w:rsid w:val="00E20579"/>
    <w:rsid w:val="00FB006F"/>
    <w:rsid w:val="40DF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jc w:val="center"/>
      <w:outlineLvl w:val="0"/>
    </w:pPr>
    <w:rPr>
      <w:sz w:val="28"/>
      <w:szCs w:val="20"/>
    </w:rPr>
  </w:style>
  <w:style w:type="paragraph" w:styleId="3">
    <w:name w:val="heading 2"/>
    <w:basedOn w:val="1"/>
    <w:next w:val="4"/>
    <w:link w:val="38"/>
    <w:qFormat/>
    <w:uiPriority w:val="0"/>
    <w:pPr>
      <w:keepNext/>
      <w:keepLines/>
      <w:spacing w:before="260" w:after="260" w:line="416" w:lineRule="auto"/>
      <w:outlineLvl w:val="1"/>
    </w:pPr>
    <w:rPr>
      <w:rFonts w:ascii="Univers (W1)" w:hAnsi="Univers (W1)" w:eastAsia="黑体"/>
      <w:b/>
      <w:sz w:val="32"/>
      <w:szCs w:val="20"/>
    </w:rPr>
  </w:style>
  <w:style w:type="paragraph" w:styleId="5">
    <w:name w:val="heading 3"/>
    <w:basedOn w:val="1"/>
    <w:next w:val="4"/>
    <w:link w:val="39"/>
    <w:qFormat/>
    <w:uiPriority w:val="0"/>
    <w:pPr>
      <w:keepNext/>
      <w:keepLines/>
      <w:spacing w:before="260" w:after="260" w:line="416" w:lineRule="auto"/>
      <w:outlineLvl w:val="2"/>
    </w:pPr>
    <w:rPr>
      <w:b/>
      <w:sz w:val="32"/>
      <w:szCs w:val="20"/>
    </w:rPr>
  </w:style>
  <w:style w:type="character" w:default="1" w:styleId="28">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djustRightInd w:val="0"/>
      <w:spacing w:line="560" w:lineRule="exact"/>
      <w:ind w:firstLine="624"/>
      <w:jc w:val="left"/>
      <w:textAlignment w:val="baseline"/>
    </w:pPr>
    <w:rPr>
      <w:rFonts w:eastAsia="仿宋_GB2312"/>
      <w:kern w:val="0"/>
      <w:sz w:val="30"/>
      <w:szCs w:val="20"/>
    </w:rPr>
  </w:style>
  <w:style w:type="paragraph" w:styleId="6">
    <w:name w:val="annotation subject"/>
    <w:basedOn w:val="7"/>
    <w:next w:val="7"/>
    <w:link w:val="99"/>
    <w:qFormat/>
    <w:uiPriority w:val="0"/>
    <w:rPr>
      <w:b/>
      <w:bCs/>
    </w:rPr>
  </w:style>
  <w:style w:type="paragraph" w:styleId="7">
    <w:name w:val="annotation text"/>
    <w:basedOn w:val="1"/>
    <w:link w:val="97"/>
    <w:qFormat/>
    <w:uiPriority w:val="0"/>
    <w:pPr>
      <w:jc w:val="left"/>
    </w:pPr>
  </w:style>
  <w:style w:type="paragraph" w:styleId="8">
    <w:name w:val="Document Map"/>
    <w:basedOn w:val="1"/>
    <w:link w:val="82"/>
    <w:semiHidden/>
    <w:qFormat/>
    <w:uiPriority w:val="0"/>
    <w:pPr>
      <w:shd w:val="clear" w:color="auto" w:fill="000080"/>
    </w:pPr>
  </w:style>
  <w:style w:type="paragraph" w:styleId="9">
    <w:name w:val="Salutation"/>
    <w:basedOn w:val="1"/>
    <w:next w:val="1"/>
    <w:link w:val="51"/>
    <w:qFormat/>
    <w:uiPriority w:val="0"/>
    <w:rPr>
      <w:rFonts w:eastAsia="仿宋_GB2312"/>
      <w:sz w:val="28"/>
    </w:rPr>
  </w:style>
  <w:style w:type="paragraph" w:styleId="10">
    <w:name w:val="Body Text 3"/>
    <w:basedOn w:val="1"/>
    <w:link w:val="54"/>
    <w:qFormat/>
    <w:uiPriority w:val="0"/>
    <w:pPr>
      <w:jc w:val="center"/>
    </w:pPr>
    <w:rPr>
      <w:rFonts w:ascii="楷体" w:eastAsia="楷体"/>
      <w:b/>
      <w:sz w:val="24"/>
      <w:szCs w:val="20"/>
    </w:rPr>
  </w:style>
  <w:style w:type="paragraph" w:styleId="11">
    <w:name w:val="Closing"/>
    <w:basedOn w:val="1"/>
    <w:link w:val="52"/>
    <w:qFormat/>
    <w:uiPriority w:val="0"/>
    <w:pPr>
      <w:ind w:left="100" w:leftChars="2100"/>
    </w:pPr>
    <w:rPr>
      <w:rFonts w:eastAsia="仿宋_GB2312"/>
      <w:sz w:val="28"/>
    </w:rPr>
  </w:style>
  <w:style w:type="paragraph" w:styleId="12">
    <w:name w:val="Body Text"/>
    <w:basedOn w:val="1"/>
    <w:link w:val="43"/>
    <w:qFormat/>
    <w:uiPriority w:val="0"/>
    <w:pPr>
      <w:widowControl/>
      <w:spacing w:line="360" w:lineRule="auto"/>
      <w:jc w:val="left"/>
    </w:pPr>
    <w:rPr>
      <w:kern w:val="0"/>
      <w:sz w:val="28"/>
      <w:szCs w:val="20"/>
    </w:rPr>
  </w:style>
  <w:style w:type="paragraph" w:styleId="13">
    <w:name w:val="Body Text Indent"/>
    <w:basedOn w:val="1"/>
    <w:link w:val="42"/>
    <w:qFormat/>
    <w:uiPriority w:val="0"/>
    <w:pPr>
      <w:ind w:firstLine="630"/>
    </w:pPr>
    <w:rPr>
      <w:rFonts w:ascii="仿宋_GB2312" w:eastAsia="仿宋_GB2312"/>
      <w:sz w:val="32"/>
      <w:szCs w:val="20"/>
    </w:rPr>
  </w:style>
  <w:style w:type="paragraph" w:styleId="14">
    <w:name w:val="List 2"/>
    <w:basedOn w:val="1"/>
    <w:qFormat/>
    <w:uiPriority w:val="0"/>
    <w:pPr>
      <w:ind w:left="100" w:hanging="200"/>
    </w:pPr>
    <w:rPr>
      <w:szCs w:val="20"/>
    </w:rPr>
  </w:style>
  <w:style w:type="paragraph" w:styleId="15">
    <w:name w:val="Block Text"/>
    <w:basedOn w:val="1"/>
    <w:qFormat/>
    <w:uiPriority w:val="0"/>
    <w:pPr>
      <w:ind w:left="1080" w:right="-1774" w:firstLine="900"/>
    </w:pPr>
    <w:rPr>
      <w:sz w:val="28"/>
      <w:szCs w:val="20"/>
    </w:rPr>
  </w:style>
  <w:style w:type="paragraph" w:styleId="16">
    <w:name w:val="Plain Text"/>
    <w:basedOn w:val="1"/>
    <w:link w:val="47"/>
    <w:qFormat/>
    <w:uiPriority w:val="0"/>
    <w:rPr>
      <w:rFonts w:ascii="宋体" w:hAnsi="Courier New"/>
      <w:szCs w:val="20"/>
    </w:rPr>
  </w:style>
  <w:style w:type="paragraph" w:styleId="17">
    <w:name w:val="Date"/>
    <w:basedOn w:val="1"/>
    <w:next w:val="1"/>
    <w:link w:val="45"/>
    <w:qFormat/>
    <w:uiPriority w:val="0"/>
    <w:rPr>
      <w:rFonts w:ascii="仿宋_GB2312" w:eastAsia="仿宋_GB2312"/>
      <w:sz w:val="32"/>
      <w:szCs w:val="20"/>
    </w:rPr>
  </w:style>
  <w:style w:type="paragraph" w:styleId="18">
    <w:name w:val="Body Text Indent 2"/>
    <w:basedOn w:val="1"/>
    <w:link w:val="44"/>
    <w:qFormat/>
    <w:uiPriority w:val="0"/>
    <w:pPr>
      <w:spacing w:line="520" w:lineRule="exact"/>
      <w:ind w:firstLine="555"/>
    </w:pPr>
    <w:rPr>
      <w:rFonts w:ascii="仿宋_GB2312" w:eastAsia="仿宋_GB2312"/>
      <w:sz w:val="28"/>
    </w:rPr>
  </w:style>
  <w:style w:type="paragraph" w:styleId="19">
    <w:name w:val="Balloon Text"/>
    <w:basedOn w:val="1"/>
    <w:link w:val="88"/>
    <w:semiHidden/>
    <w:qFormat/>
    <w:uiPriority w:val="0"/>
    <w:rPr>
      <w:sz w:val="18"/>
      <w:szCs w:val="18"/>
    </w:rPr>
  </w:style>
  <w:style w:type="paragraph" w:styleId="20">
    <w:name w:val="footer"/>
    <w:basedOn w:val="1"/>
    <w:link w:val="41"/>
    <w:unhideWhenUsed/>
    <w:qFormat/>
    <w:uiPriority w:val="0"/>
    <w:pPr>
      <w:tabs>
        <w:tab w:val="center" w:pos="4153"/>
        <w:tab w:val="right" w:pos="8306"/>
      </w:tabs>
      <w:snapToGrid w:val="0"/>
      <w:jc w:val="left"/>
    </w:pPr>
    <w:rPr>
      <w:sz w:val="18"/>
      <w:szCs w:val="18"/>
    </w:rPr>
  </w:style>
  <w:style w:type="paragraph" w:styleId="21">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List"/>
    <w:basedOn w:val="1"/>
    <w:qFormat/>
    <w:uiPriority w:val="0"/>
    <w:pPr>
      <w:ind w:left="420" w:hanging="420"/>
    </w:pPr>
    <w:rPr>
      <w:szCs w:val="20"/>
    </w:rPr>
  </w:style>
  <w:style w:type="paragraph" w:styleId="23">
    <w:name w:val="footnote text"/>
    <w:basedOn w:val="1"/>
    <w:link w:val="53"/>
    <w:semiHidden/>
    <w:qFormat/>
    <w:uiPriority w:val="0"/>
    <w:pPr>
      <w:snapToGrid w:val="0"/>
      <w:jc w:val="left"/>
    </w:pPr>
    <w:rPr>
      <w:sz w:val="18"/>
      <w:szCs w:val="20"/>
    </w:rPr>
  </w:style>
  <w:style w:type="paragraph" w:styleId="24">
    <w:name w:val="Body Text Indent 3"/>
    <w:basedOn w:val="1"/>
    <w:link w:val="46"/>
    <w:qFormat/>
    <w:uiPriority w:val="0"/>
    <w:pPr>
      <w:spacing w:line="520" w:lineRule="exact"/>
      <w:ind w:firstLine="560" w:firstLineChars="200"/>
    </w:pPr>
    <w:rPr>
      <w:rFonts w:ascii="仿宋_GB2312" w:hAnsi="宋体" w:eastAsia="仿宋_GB2312"/>
      <w:sz w:val="28"/>
    </w:rPr>
  </w:style>
  <w:style w:type="paragraph" w:styleId="25">
    <w:name w:val="Body Text 2"/>
    <w:basedOn w:val="1"/>
    <w:link w:val="55"/>
    <w:qFormat/>
    <w:uiPriority w:val="0"/>
    <w:pPr>
      <w:spacing w:line="500" w:lineRule="exact"/>
      <w:outlineLvl w:val="0"/>
    </w:pPr>
    <w:rPr>
      <w:rFonts w:eastAsia="仿宋_GB2312"/>
      <w:sz w:val="32"/>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paragraph" w:styleId="27">
    <w:name w:val="Title"/>
    <w:basedOn w:val="1"/>
    <w:link w:val="83"/>
    <w:qFormat/>
    <w:uiPriority w:val="0"/>
    <w:pPr>
      <w:spacing w:before="240" w:after="60"/>
      <w:jc w:val="center"/>
      <w:outlineLvl w:val="0"/>
    </w:pPr>
    <w:rPr>
      <w:rFonts w:ascii="Arial" w:hAnsi="Arial" w:cs="Arial"/>
      <w:b/>
      <w:bCs/>
      <w:sz w:val="32"/>
      <w:szCs w:val="32"/>
    </w:rPr>
  </w:style>
  <w:style w:type="character" w:styleId="29">
    <w:name w:val="Strong"/>
    <w:qFormat/>
    <w:uiPriority w:val="0"/>
    <w:rPr>
      <w:b/>
      <w:bCs/>
    </w:rPr>
  </w:style>
  <w:style w:type="character" w:styleId="30">
    <w:name w:val="page number"/>
    <w:basedOn w:val="28"/>
    <w:qFormat/>
    <w:uiPriority w:val="0"/>
  </w:style>
  <w:style w:type="character" w:styleId="31">
    <w:name w:val="HTML Typewriter"/>
    <w:qFormat/>
    <w:uiPriority w:val="0"/>
    <w:rPr>
      <w:rFonts w:ascii="宋体" w:hAnsi="宋体" w:eastAsia="宋体" w:cs="宋体"/>
      <w:sz w:val="24"/>
      <w:szCs w:val="24"/>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styleId="34">
    <w:name w:val="footnote reference"/>
    <w:semiHidden/>
    <w:qFormat/>
    <w:uiPriority w:val="0"/>
    <w:rPr>
      <w:vertAlign w:val="superscript"/>
    </w:rPr>
  </w:style>
  <w:style w:type="table" w:styleId="36">
    <w:name w:val="Table Grid"/>
    <w:basedOn w:val="3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7">
    <w:name w:val="标题 1 字符"/>
    <w:basedOn w:val="28"/>
    <w:link w:val="2"/>
    <w:qFormat/>
    <w:uiPriority w:val="0"/>
    <w:rPr>
      <w:rFonts w:ascii="Times New Roman" w:hAnsi="Times New Roman" w:eastAsia="宋体" w:cs="Times New Roman"/>
      <w:sz w:val="28"/>
      <w:szCs w:val="20"/>
    </w:rPr>
  </w:style>
  <w:style w:type="character" w:customStyle="1" w:styleId="38">
    <w:name w:val="标题 2 字符"/>
    <w:basedOn w:val="28"/>
    <w:link w:val="3"/>
    <w:qFormat/>
    <w:uiPriority w:val="0"/>
    <w:rPr>
      <w:rFonts w:ascii="Univers (W1)" w:hAnsi="Univers (W1)" w:eastAsia="黑体" w:cs="Times New Roman"/>
      <w:b/>
      <w:sz w:val="32"/>
      <w:szCs w:val="20"/>
    </w:rPr>
  </w:style>
  <w:style w:type="character" w:customStyle="1" w:styleId="39">
    <w:name w:val="标题 3 字符"/>
    <w:basedOn w:val="28"/>
    <w:link w:val="5"/>
    <w:qFormat/>
    <w:uiPriority w:val="0"/>
    <w:rPr>
      <w:rFonts w:ascii="Times New Roman" w:hAnsi="Times New Roman" w:eastAsia="宋体" w:cs="Times New Roman"/>
      <w:b/>
      <w:sz w:val="32"/>
      <w:szCs w:val="20"/>
    </w:rPr>
  </w:style>
  <w:style w:type="character" w:customStyle="1" w:styleId="40">
    <w:name w:val="页眉 字符"/>
    <w:basedOn w:val="28"/>
    <w:link w:val="21"/>
    <w:semiHidden/>
    <w:qFormat/>
    <w:uiPriority w:val="99"/>
    <w:rPr>
      <w:sz w:val="18"/>
      <w:szCs w:val="18"/>
    </w:rPr>
  </w:style>
  <w:style w:type="character" w:customStyle="1" w:styleId="41">
    <w:name w:val="页脚 字符"/>
    <w:basedOn w:val="28"/>
    <w:link w:val="20"/>
    <w:semiHidden/>
    <w:qFormat/>
    <w:uiPriority w:val="99"/>
    <w:rPr>
      <w:sz w:val="18"/>
      <w:szCs w:val="18"/>
    </w:rPr>
  </w:style>
  <w:style w:type="character" w:customStyle="1" w:styleId="42">
    <w:name w:val="正文文本缩进 字符"/>
    <w:basedOn w:val="28"/>
    <w:link w:val="13"/>
    <w:qFormat/>
    <w:uiPriority w:val="0"/>
    <w:rPr>
      <w:rFonts w:ascii="仿宋_GB2312" w:hAnsi="Times New Roman" w:eastAsia="仿宋_GB2312" w:cs="Times New Roman"/>
      <w:sz w:val="32"/>
      <w:szCs w:val="20"/>
    </w:rPr>
  </w:style>
  <w:style w:type="character" w:customStyle="1" w:styleId="43">
    <w:name w:val="正文文本 字符"/>
    <w:basedOn w:val="28"/>
    <w:link w:val="12"/>
    <w:qFormat/>
    <w:uiPriority w:val="0"/>
    <w:rPr>
      <w:rFonts w:ascii="Times New Roman" w:hAnsi="Times New Roman" w:eastAsia="宋体" w:cs="Times New Roman"/>
      <w:kern w:val="0"/>
      <w:sz w:val="28"/>
      <w:szCs w:val="20"/>
    </w:rPr>
  </w:style>
  <w:style w:type="character" w:customStyle="1" w:styleId="44">
    <w:name w:val="正文文本缩进 2 字符"/>
    <w:basedOn w:val="28"/>
    <w:link w:val="18"/>
    <w:qFormat/>
    <w:uiPriority w:val="0"/>
    <w:rPr>
      <w:rFonts w:ascii="仿宋_GB2312" w:hAnsi="Times New Roman" w:eastAsia="仿宋_GB2312" w:cs="Times New Roman"/>
      <w:sz w:val="28"/>
      <w:szCs w:val="24"/>
    </w:rPr>
  </w:style>
  <w:style w:type="character" w:customStyle="1" w:styleId="45">
    <w:name w:val="日期 字符"/>
    <w:basedOn w:val="28"/>
    <w:link w:val="17"/>
    <w:qFormat/>
    <w:uiPriority w:val="0"/>
    <w:rPr>
      <w:rFonts w:ascii="仿宋_GB2312" w:hAnsi="Times New Roman" w:eastAsia="仿宋_GB2312" w:cs="Times New Roman"/>
      <w:sz w:val="32"/>
      <w:szCs w:val="20"/>
    </w:rPr>
  </w:style>
  <w:style w:type="character" w:customStyle="1" w:styleId="46">
    <w:name w:val="正文文本缩进 3 字符"/>
    <w:basedOn w:val="28"/>
    <w:link w:val="24"/>
    <w:qFormat/>
    <w:uiPriority w:val="0"/>
    <w:rPr>
      <w:rFonts w:ascii="仿宋_GB2312" w:hAnsi="宋体" w:eastAsia="仿宋_GB2312" w:cs="Times New Roman"/>
      <w:sz w:val="28"/>
      <w:szCs w:val="24"/>
    </w:rPr>
  </w:style>
  <w:style w:type="character" w:customStyle="1" w:styleId="47">
    <w:name w:val="纯文本 字符"/>
    <w:basedOn w:val="28"/>
    <w:link w:val="16"/>
    <w:qFormat/>
    <w:uiPriority w:val="0"/>
    <w:rPr>
      <w:rFonts w:ascii="宋体" w:hAnsi="Courier New" w:eastAsia="宋体" w:cs="Times New Roman"/>
      <w:szCs w:val="20"/>
    </w:rPr>
  </w:style>
  <w:style w:type="character" w:customStyle="1" w:styleId="48">
    <w:name w:val="已访问的超链接1"/>
    <w:qFormat/>
    <w:uiPriority w:val="0"/>
    <w:rPr>
      <w:color w:val="800080"/>
      <w:u w:val="single"/>
    </w:rPr>
  </w:style>
  <w:style w:type="paragraph" w:customStyle="1" w:styleId="49">
    <w:name w:val="普通 (Web)"/>
    <w:basedOn w:val="1"/>
    <w:qFormat/>
    <w:uiPriority w:val="0"/>
    <w:pPr>
      <w:widowControl/>
      <w:spacing w:before="100" w:beforeAutospacing="1" w:after="100" w:afterAutospacing="1"/>
      <w:jc w:val="left"/>
    </w:pPr>
    <w:rPr>
      <w:rFonts w:ascii="Arial Unicode MS" w:hAnsi="Arial Unicode MS" w:eastAsia="Arial Unicode MS" w:cs="黑体"/>
      <w:kern w:val="0"/>
      <w:sz w:val="24"/>
    </w:rPr>
  </w:style>
  <w:style w:type="character" w:customStyle="1" w:styleId="50">
    <w:name w:val="mud1"/>
    <w:qFormat/>
    <w:uiPriority w:val="0"/>
    <w:rPr>
      <w:sz w:val="18"/>
      <w:szCs w:val="18"/>
    </w:rPr>
  </w:style>
  <w:style w:type="character" w:customStyle="1" w:styleId="51">
    <w:name w:val="称呼 字符"/>
    <w:basedOn w:val="28"/>
    <w:link w:val="9"/>
    <w:qFormat/>
    <w:uiPriority w:val="0"/>
    <w:rPr>
      <w:rFonts w:ascii="Times New Roman" w:hAnsi="Times New Roman" w:eastAsia="仿宋_GB2312" w:cs="Times New Roman"/>
      <w:sz w:val="28"/>
      <w:szCs w:val="24"/>
    </w:rPr>
  </w:style>
  <w:style w:type="character" w:customStyle="1" w:styleId="52">
    <w:name w:val="结束语 字符"/>
    <w:basedOn w:val="28"/>
    <w:link w:val="11"/>
    <w:qFormat/>
    <w:uiPriority w:val="0"/>
    <w:rPr>
      <w:rFonts w:ascii="Times New Roman" w:hAnsi="Times New Roman" w:eastAsia="仿宋_GB2312" w:cs="Times New Roman"/>
      <w:sz w:val="28"/>
      <w:szCs w:val="24"/>
    </w:rPr>
  </w:style>
  <w:style w:type="character" w:customStyle="1" w:styleId="53">
    <w:name w:val="脚注文本 字符"/>
    <w:basedOn w:val="28"/>
    <w:link w:val="23"/>
    <w:semiHidden/>
    <w:qFormat/>
    <w:uiPriority w:val="0"/>
    <w:rPr>
      <w:rFonts w:ascii="Times New Roman" w:hAnsi="Times New Roman" w:eastAsia="宋体" w:cs="Times New Roman"/>
      <w:sz w:val="18"/>
      <w:szCs w:val="20"/>
    </w:rPr>
  </w:style>
  <w:style w:type="character" w:customStyle="1" w:styleId="54">
    <w:name w:val="正文文本 3 字符"/>
    <w:basedOn w:val="28"/>
    <w:link w:val="10"/>
    <w:qFormat/>
    <w:uiPriority w:val="0"/>
    <w:rPr>
      <w:rFonts w:ascii="楷体" w:hAnsi="Times New Roman" w:eastAsia="楷体" w:cs="Times New Roman"/>
      <w:b/>
      <w:sz w:val="24"/>
      <w:szCs w:val="20"/>
    </w:rPr>
  </w:style>
  <w:style w:type="character" w:customStyle="1" w:styleId="55">
    <w:name w:val="正文文本 2 字符"/>
    <w:basedOn w:val="28"/>
    <w:link w:val="25"/>
    <w:qFormat/>
    <w:uiPriority w:val="0"/>
    <w:rPr>
      <w:rFonts w:ascii="Times New Roman" w:hAnsi="Times New Roman" w:eastAsia="仿宋_GB2312" w:cs="Times New Roman"/>
      <w:sz w:val="32"/>
      <w:szCs w:val="24"/>
    </w:rPr>
  </w:style>
  <w:style w:type="character" w:customStyle="1" w:styleId="56">
    <w:name w:val="b121"/>
    <w:qFormat/>
    <w:uiPriority w:val="0"/>
    <w:rPr>
      <w:rFonts w:hint="eastAsia" w:ascii="宋体" w:hAnsi="宋体" w:eastAsia="宋体"/>
      <w:color w:val="000000"/>
      <w:sz w:val="18"/>
      <w:szCs w:val="18"/>
      <w:u w:val="none"/>
    </w:rPr>
  </w:style>
  <w:style w:type="character" w:customStyle="1" w:styleId="57">
    <w:name w:val="yxNone"/>
    <w:basedOn w:val="28"/>
    <w:qFormat/>
    <w:uiPriority w:val="0"/>
  </w:style>
  <w:style w:type="character" w:customStyle="1" w:styleId="58">
    <w:name w:val="content1"/>
    <w:basedOn w:val="28"/>
    <w:qFormat/>
    <w:uiPriority w:val="0"/>
  </w:style>
  <w:style w:type="character" w:customStyle="1" w:styleId="59">
    <w:name w:val="pfont1"/>
    <w:qFormat/>
    <w:uiPriority w:val="0"/>
    <w:rPr>
      <w:sz w:val="22"/>
      <w:szCs w:val="22"/>
    </w:rPr>
  </w:style>
  <w:style w:type="character" w:customStyle="1" w:styleId="60">
    <w:name w:val="t_blue_011"/>
    <w:qFormat/>
    <w:uiPriority w:val="0"/>
    <w:rPr>
      <w:rFonts w:hint="default"/>
      <w:color w:val="4A81B5"/>
      <w:sz w:val="27"/>
      <w:szCs w:val="27"/>
    </w:rPr>
  </w:style>
  <w:style w:type="character" w:customStyle="1" w:styleId="61">
    <w:name w:val="p1481"/>
    <w:qFormat/>
    <w:uiPriority w:val="0"/>
    <w:rPr>
      <w:color w:val="515151"/>
      <w:sz w:val="22"/>
      <w:szCs w:val="22"/>
    </w:rPr>
  </w:style>
  <w:style w:type="character" w:customStyle="1" w:styleId="62">
    <w:name w:val="eee"/>
    <w:basedOn w:val="28"/>
    <w:qFormat/>
    <w:uiPriority w:val="0"/>
  </w:style>
  <w:style w:type="character" w:customStyle="1" w:styleId="63">
    <w:name w:val="yxInternal"/>
    <w:qFormat/>
    <w:uiPriority w:val="0"/>
    <w:rPr>
      <w:rFonts w:ascii="Courier New" w:hAnsi="Courier New"/>
      <w:color w:val="FF0000"/>
      <w:sz w:val="24"/>
      <w:u w:val="single"/>
    </w:rPr>
  </w:style>
  <w:style w:type="character" w:customStyle="1" w:styleId="64">
    <w:name w:val="defaultlinkset1"/>
    <w:qFormat/>
    <w:uiPriority w:val="0"/>
    <w:rPr>
      <w:sz w:val="21"/>
      <w:szCs w:val="21"/>
    </w:rPr>
  </w:style>
  <w:style w:type="paragraph" w:customStyle="1" w:styleId="65">
    <w:name w:val="style8"/>
    <w:basedOn w:val="1"/>
    <w:qFormat/>
    <w:uiPriority w:val="0"/>
    <w:pPr>
      <w:widowControl/>
      <w:spacing w:before="100" w:beforeAutospacing="1" w:after="100" w:afterAutospacing="1"/>
      <w:jc w:val="left"/>
    </w:pPr>
    <w:rPr>
      <w:kern w:val="0"/>
      <w:sz w:val="22"/>
      <w:szCs w:val="22"/>
    </w:rPr>
  </w:style>
  <w:style w:type="paragraph" w:customStyle="1" w:styleId="66">
    <w:name w:val="样式1"/>
    <w:basedOn w:val="1"/>
    <w:qFormat/>
    <w:uiPriority w:val="0"/>
    <w:pPr>
      <w:spacing w:line="500" w:lineRule="exact"/>
      <w:ind w:firstLine="560" w:firstLineChars="200"/>
      <w:outlineLvl w:val="0"/>
    </w:pPr>
  </w:style>
  <w:style w:type="character" w:customStyle="1" w:styleId="67">
    <w:name w:val="unnamed11"/>
    <w:basedOn w:val="28"/>
    <w:qFormat/>
    <w:uiPriority w:val="0"/>
  </w:style>
  <w:style w:type="paragraph" w:customStyle="1" w:styleId="68">
    <w:name w:val="普通(网站)1"/>
    <w:basedOn w:val="1"/>
    <w:qFormat/>
    <w:uiPriority w:val="0"/>
    <w:pPr>
      <w:widowControl/>
      <w:spacing w:before="100" w:beforeAutospacing="1" w:after="100" w:afterAutospacing="1"/>
      <w:jc w:val="left"/>
    </w:pPr>
    <w:rPr>
      <w:rFonts w:ascii="宋体" w:hAnsi="宋体"/>
      <w:kern w:val="0"/>
      <w:sz w:val="24"/>
    </w:rPr>
  </w:style>
  <w:style w:type="character" w:customStyle="1" w:styleId="69">
    <w:name w:val="yxMark"/>
    <w:qFormat/>
    <w:uiPriority w:val="0"/>
    <w:rPr>
      <w:rFonts w:ascii="Courier New" w:hAnsi="Courier New"/>
      <w:vanish/>
      <w:color w:val="800000"/>
      <w:sz w:val="22"/>
      <w:vertAlign w:val="subscript"/>
    </w:rPr>
  </w:style>
  <w:style w:type="paragraph" w:customStyle="1" w:styleId="70">
    <w:name w:val="文件正文"/>
    <w:basedOn w:val="1"/>
    <w:qFormat/>
    <w:uiPriority w:val="0"/>
    <w:pPr>
      <w:spacing w:line="560" w:lineRule="exact"/>
      <w:ind w:firstLine="640"/>
    </w:pPr>
    <w:rPr>
      <w:rFonts w:ascii="仿宋_GB2312" w:eastAsia="仿宋_GB2312"/>
      <w:color w:val="000000"/>
      <w:sz w:val="32"/>
    </w:rPr>
  </w:style>
  <w:style w:type="character" w:customStyle="1" w:styleId="71">
    <w:name w:val="text"/>
    <w:basedOn w:val="28"/>
    <w:qFormat/>
    <w:uiPriority w:val="0"/>
  </w:style>
  <w:style w:type="character" w:customStyle="1" w:styleId="72">
    <w:name w:val="p14"/>
    <w:basedOn w:val="28"/>
    <w:qFormat/>
    <w:uiPriority w:val="0"/>
  </w:style>
  <w:style w:type="paragraph" w:customStyle="1" w:styleId="73">
    <w:name w:val="文章正文"/>
    <w:basedOn w:val="1"/>
    <w:qFormat/>
    <w:uiPriority w:val="0"/>
    <w:pPr>
      <w:ind w:firstLine="641"/>
    </w:pPr>
    <w:rPr>
      <w:rFonts w:ascii="仿宋_GB2312" w:eastAsia="仿宋_GB2312"/>
      <w:sz w:val="32"/>
      <w:szCs w:val="20"/>
    </w:rPr>
  </w:style>
  <w:style w:type="paragraph" w:customStyle="1" w:styleId="74">
    <w:name w:val="全文标题"/>
    <w:basedOn w:val="1"/>
    <w:qFormat/>
    <w:uiPriority w:val="0"/>
    <w:pPr>
      <w:jc w:val="center"/>
    </w:pPr>
    <w:rPr>
      <w:sz w:val="44"/>
      <w:szCs w:val="20"/>
    </w:rPr>
  </w:style>
  <w:style w:type="character" w:customStyle="1" w:styleId="75">
    <w:name w:val="style51"/>
    <w:qFormat/>
    <w:uiPriority w:val="0"/>
    <w:rPr>
      <w:sz w:val="21"/>
      <w:szCs w:val="21"/>
    </w:rPr>
  </w:style>
  <w:style w:type="paragraph" w:customStyle="1" w:styleId="76">
    <w:name w:val="普通(Web)"/>
    <w:basedOn w:val="1"/>
    <w:qFormat/>
    <w:uiPriority w:val="0"/>
    <w:pPr>
      <w:widowControl/>
      <w:spacing w:before="100" w:beforeAutospacing="1" w:after="100" w:afterAutospacing="1"/>
      <w:jc w:val="left"/>
    </w:pPr>
    <w:rPr>
      <w:rFonts w:ascii="宋体" w:hAnsi="宋体"/>
      <w:kern w:val="0"/>
      <w:sz w:val="18"/>
      <w:szCs w:val="18"/>
    </w:rPr>
  </w:style>
  <w:style w:type="character" w:customStyle="1" w:styleId="77">
    <w:name w:val="h11"/>
    <w:qFormat/>
    <w:uiPriority w:val="0"/>
    <w:rPr>
      <w:sz w:val="18"/>
      <w:szCs w:val="18"/>
    </w:rPr>
  </w:style>
  <w:style w:type="character" w:customStyle="1" w:styleId="78">
    <w:name w:val="o1css"/>
    <w:basedOn w:val="28"/>
    <w:qFormat/>
    <w:uiPriority w:val="0"/>
  </w:style>
  <w:style w:type="character" w:customStyle="1" w:styleId="79">
    <w:name w:val="style1 f14 style3"/>
    <w:basedOn w:val="28"/>
    <w:qFormat/>
    <w:uiPriority w:val="0"/>
  </w:style>
  <w:style w:type="character" w:customStyle="1" w:styleId="80">
    <w:name w:val="font_peisong1"/>
    <w:qFormat/>
    <w:uiPriority w:val="0"/>
    <w:rPr>
      <w:color w:val="0051A4"/>
      <w:sz w:val="18"/>
      <w:szCs w:val="18"/>
    </w:rPr>
  </w:style>
  <w:style w:type="paragraph" w:customStyle="1" w:styleId="81">
    <w:name w:val="f14 f14 f14 f14"/>
    <w:basedOn w:val="1"/>
    <w:qFormat/>
    <w:uiPriority w:val="0"/>
    <w:pPr>
      <w:widowControl/>
      <w:spacing w:before="100" w:beforeAutospacing="1" w:after="100" w:afterAutospacing="1"/>
      <w:jc w:val="left"/>
    </w:pPr>
    <w:rPr>
      <w:rFonts w:ascii="宋体" w:hAnsi="宋体"/>
      <w:kern w:val="0"/>
      <w:sz w:val="24"/>
    </w:rPr>
  </w:style>
  <w:style w:type="character" w:customStyle="1" w:styleId="82">
    <w:name w:val="文档结构图 字符"/>
    <w:basedOn w:val="28"/>
    <w:link w:val="8"/>
    <w:semiHidden/>
    <w:qFormat/>
    <w:uiPriority w:val="0"/>
    <w:rPr>
      <w:rFonts w:ascii="Times New Roman" w:hAnsi="Times New Roman" w:eastAsia="宋体" w:cs="Times New Roman"/>
      <w:szCs w:val="24"/>
      <w:shd w:val="clear" w:color="auto" w:fill="000080"/>
    </w:rPr>
  </w:style>
  <w:style w:type="character" w:customStyle="1" w:styleId="83">
    <w:name w:val="标题 字符"/>
    <w:basedOn w:val="28"/>
    <w:link w:val="27"/>
    <w:qFormat/>
    <w:uiPriority w:val="0"/>
    <w:rPr>
      <w:rFonts w:ascii="Arial" w:hAnsi="Arial" w:eastAsia="宋体" w:cs="Arial"/>
      <w:b/>
      <w:bCs/>
      <w:sz w:val="32"/>
      <w:szCs w:val="32"/>
    </w:rPr>
  </w:style>
  <w:style w:type="paragraph" w:customStyle="1" w:styleId="84">
    <w:name w:val="公文"/>
    <w:basedOn w:val="1"/>
    <w:next w:val="27"/>
    <w:qFormat/>
    <w:uiPriority w:val="0"/>
    <w:pPr>
      <w:spacing w:line="700" w:lineRule="exact"/>
      <w:jc w:val="center"/>
    </w:pPr>
    <w:rPr>
      <w:rFonts w:ascii="方正小标宋简体" w:eastAsia="方正小标宋简体"/>
      <w:sz w:val="44"/>
    </w:rPr>
  </w:style>
  <w:style w:type="paragraph" w:customStyle="1" w:styleId="85">
    <w:name w:val="Char"/>
    <w:basedOn w:val="1"/>
    <w:qFormat/>
    <w:uiPriority w:val="0"/>
    <w:rPr>
      <w:rFonts w:ascii="Tahoma" w:hAnsi="Tahoma"/>
      <w:sz w:val="24"/>
      <w:szCs w:val="20"/>
    </w:rPr>
  </w:style>
  <w:style w:type="paragraph" w:customStyle="1" w:styleId="86">
    <w:name w:val="图1"/>
    <w:basedOn w:val="1"/>
    <w:next w:val="1"/>
    <w:qFormat/>
    <w:uiPriority w:val="0"/>
    <w:pPr>
      <w:tabs>
        <w:tab w:val="left" w:pos="284"/>
      </w:tabs>
      <w:spacing w:beforeLines="50" w:afterLines="100" w:line="360" w:lineRule="auto"/>
      <w:ind w:left="1105" w:hanging="748" w:firstLineChars="200"/>
      <w:jc w:val="center"/>
    </w:pPr>
    <w:rPr>
      <w:kern w:val="0"/>
      <w:sz w:val="24"/>
    </w:rPr>
  </w:style>
  <w:style w:type="paragraph" w:customStyle="1" w:styleId="87">
    <w:name w:val="Char Char Char Char Char Char Char Char Char Char"/>
    <w:basedOn w:val="1"/>
    <w:qFormat/>
    <w:uiPriority w:val="0"/>
    <w:pPr>
      <w:numPr>
        <w:ilvl w:val="0"/>
        <w:numId w:val="1"/>
      </w:numPr>
    </w:pPr>
    <w:rPr>
      <w:sz w:val="24"/>
    </w:rPr>
  </w:style>
  <w:style w:type="character" w:customStyle="1" w:styleId="88">
    <w:name w:val="批注框文本 字符"/>
    <w:basedOn w:val="28"/>
    <w:link w:val="19"/>
    <w:semiHidden/>
    <w:qFormat/>
    <w:uiPriority w:val="0"/>
    <w:rPr>
      <w:rFonts w:ascii="Times New Roman" w:hAnsi="Times New Roman" w:eastAsia="宋体" w:cs="Times New Roman"/>
      <w:sz w:val="18"/>
      <w:szCs w:val="18"/>
    </w:rPr>
  </w:style>
  <w:style w:type="paragraph" w:customStyle="1" w:styleId="89">
    <w:name w:val="Char1"/>
    <w:basedOn w:val="1"/>
    <w:qFormat/>
    <w:uiPriority w:val="0"/>
    <w:pPr>
      <w:tabs>
        <w:tab w:val="left" w:pos="907"/>
      </w:tabs>
      <w:ind w:left="907" w:hanging="453"/>
    </w:pPr>
    <w:rPr>
      <w:sz w:val="24"/>
    </w:rPr>
  </w:style>
  <w:style w:type="paragraph" w:customStyle="1" w:styleId="90">
    <w:name w:val="style7"/>
    <w:basedOn w:val="1"/>
    <w:qFormat/>
    <w:uiPriority w:val="0"/>
    <w:pPr>
      <w:widowControl/>
      <w:spacing w:before="100" w:beforeAutospacing="1" w:after="100" w:afterAutospacing="1"/>
      <w:jc w:val="left"/>
    </w:pPr>
    <w:rPr>
      <w:rFonts w:ascii="宋体" w:hAnsi="宋体" w:cs="宋体"/>
      <w:kern w:val="0"/>
      <w:sz w:val="24"/>
    </w:rPr>
  </w:style>
  <w:style w:type="character" w:customStyle="1" w:styleId="91">
    <w:name w:val="news1"/>
    <w:qFormat/>
    <w:uiPriority w:val="0"/>
    <w:rPr>
      <w:rFonts w:hint="default" w:ascii="Verdana" w:hAnsi="Verdana"/>
      <w:color w:val="000000"/>
      <w:sz w:val="21"/>
      <w:szCs w:val="21"/>
    </w:rPr>
  </w:style>
  <w:style w:type="paragraph" w:customStyle="1" w:styleId="92">
    <w:name w:val="默认段落字体 Para Char Char Char Char Char Char Char"/>
    <w:basedOn w:val="1"/>
    <w:qFormat/>
    <w:uiPriority w:val="0"/>
    <w:rPr>
      <w:rFonts w:ascii="Tahoma" w:hAnsi="Tahoma" w:cs="Tahoma"/>
      <w:sz w:val="24"/>
    </w:rPr>
  </w:style>
  <w:style w:type="paragraph" w:customStyle="1" w:styleId="93">
    <w:name w:val="Char Char Char Char Char Char Char"/>
    <w:basedOn w:val="1"/>
    <w:qFormat/>
    <w:uiPriority w:val="0"/>
  </w:style>
  <w:style w:type="paragraph" w:customStyle="1" w:styleId="94">
    <w:name w:val="落款"/>
    <w:basedOn w:val="1"/>
    <w:next w:val="1"/>
    <w:qFormat/>
    <w:uiPriority w:val="0"/>
    <w:pPr>
      <w:spacing w:line="560" w:lineRule="exact"/>
      <w:jc w:val="right"/>
    </w:pPr>
    <w:rPr>
      <w:rFonts w:eastAsia="仿宋_GB2312"/>
      <w:sz w:val="32"/>
      <w:szCs w:val="32"/>
    </w:rPr>
  </w:style>
  <w:style w:type="paragraph" w:styleId="95">
    <w:name w:val="List Paragraph"/>
    <w:basedOn w:val="1"/>
    <w:qFormat/>
    <w:uiPriority w:val="0"/>
    <w:pPr>
      <w:spacing w:line="360" w:lineRule="auto"/>
      <w:ind w:firstLine="420" w:firstLineChars="200"/>
    </w:pPr>
    <w:rPr>
      <w:rFonts w:ascii="Arial" w:hAnsi="Arial"/>
      <w:sz w:val="24"/>
    </w:rPr>
  </w:style>
  <w:style w:type="paragraph" w:customStyle="1" w:styleId="96">
    <w:name w:val="Char Char Char"/>
    <w:basedOn w:val="1"/>
    <w:qFormat/>
    <w:uiPriority w:val="0"/>
    <w:pPr>
      <w:spacing w:beforeLines="50" w:afterLines="50"/>
      <w:ind w:left="200" w:leftChars="200"/>
    </w:pPr>
  </w:style>
  <w:style w:type="character" w:customStyle="1" w:styleId="97">
    <w:name w:val="批注文字 字符"/>
    <w:link w:val="7"/>
    <w:qFormat/>
    <w:uiPriority w:val="0"/>
    <w:rPr>
      <w:rFonts w:ascii="Times New Roman" w:hAnsi="Times New Roman" w:eastAsia="宋体" w:cs="Times New Roman"/>
      <w:szCs w:val="24"/>
    </w:rPr>
  </w:style>
  <w:style w:type="character" w:customStyle="1" w:styleId="98">
    <w:name w:val="批注文字 Char"/>
    <w:basedOn w:val="28"/>
    <w:semiHidden/>
    <w:qFormat/>
    <w:uiPriority w:val="99"/>
    <w:rPr>
      <w:rFonts w:ascii="Times New Roman" w:hAnsi="Times New Roman" w:eastAsia="宋体" w:cs="Times New Roman"/>
      <w:szCs w:val="24"/>
    </w:rPr>
  </w:style>
  <w:style w:type="character" w:customStyle="1" w:styleId="99">
    <w:name w:val="批注主题 字符"/>
    <w:link w:val="6"/>
    <w:qFormat/>
    <w:uiPriority w:val="0"/>
    <w:rPr>
      <w:rFonts w:ascii="Times New Roman" w:hAnsi="Times New Roman" w:eastAsia="宋体" w:cs="Times New Roman"/>
      <w:b/>
      <w:bCs/>
      <w:szCs w:val="24"/>
    </w:rPr>
  </w:style>
  <w:style w:type="character" w:customStyle="1" w:styleId="100">
    <w:name w:val="批注主题 Char"/>
    <w:basedOn w:val="9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554</Words>
  <Characters>3161</Characters>
  <Lines>26</Lines>
  <Paragraphs>7</Paragraphs>
  <TotalTime>0</TotalTime>
  <ScaleCrop>false</ScaleCrop>
  <LinksUpToDate>false</LinksUpToDate>
  <CharactersWithSpaces>3708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2018-04-12T03:49:00Z</dcterms:created>
  <dc:creator>姜海飞</dc:creator>
  <cp:lastModifiedBy>暖暖</cp:lastModifiedBy>
  <cp:lastPrinted>2018-04-12T03:56:00Z</cp:lastPrinted>
  <dcterms:modified xsi:type="dcterms:W3CDTF">2018-04-12T06:55:48Z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y fmtid="{D5CDD505-2E9C-101B-9397-08002B2CF9AE}" pid="3" name="KSOProductBuildVer">
    <vt:lpwstr>2052-10.1.0.7224</vt:lpwstr>
  </property>
</Properties>
</file>